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18"/>
        <w:gridCol w:w="7058"/>
      </w:tblGrid>
      <w:tr w:rsidR="0056613A" w:rsidTr="0056613A">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Thủ tục:</w:t>
            </w:r>
          </w:p>
        </w:tc>
        <w:tc>
          <w:tcPr>
            <w:tcW w:w="7058" w:type="dxa"/>
            <w:vAlign w:val="center"/>
          </w:tcPr>
          <w:p w:rsidR="0056613A" w:rsidRPr="002629C4" w:rsidRDefault="00160624" w:rsidP="008B3974">
            <w:pPr>
              <w:spacing w:before="120" w:after="120"/>
              <w:jc w:val="center"/>
              <w:rPr>
                <w:rFonts w:ascii="Arial" w:hAnsi="Arial" w:cs="Arial"/>
                <w:b/>
                <w:sz w:val="20"/>
                <w:szCs w:val="20"/>
              </w:rPr>
            </w:pPr>
            <w:r w:rsidRPr="00E42A6B">
              <w:rPr>
                <w:rFonts w:ascii="Arial" w:hAnsi="Arial" w:cs="Arial"/>
                <w:b/>
                <w:sz w:val="20"/>
                <w:szCs w:val="20"/>
              </w:rPr>
              <w:t>Quyết định giá thuộc thẩm quyền của cấp tỉnh</w:t>
            </w:r>
          </w:p>
        </w:tc>
      </w:tr>
      <w:tr w:rsidR="0056613A" w:rsidTr="0056613A">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Trình tự thực hiện:</w:t>
            </w:r>
          </w:p>
        </w:tc>
        <w:tc>
          <w:tcPr>
            <w:tcW w:w="7058" w:type="dxa"/>
            <w:vAlign w:val="center"/>
          </w:tcPr>
          <w:p w:rsidR="002543D5" w:rsidRPr="00E42A6B" w:rsidRDefault="002543D5" w:rsidP="002543D5">
            <w:pPr>
              <w:spacing w:before="120" w:after="120"/>
              <w:ind w:firstLine="720"/>
              <w:jc w:val="both"/>
              <w:rPr>
                <w:rFonts w:ascii="Arial" w:hAnsi="Arial" w:cs="Arial"/>
                <w:sz w:val="20"/>
                <w:szCs w:val="20"/>
                <w:lang w:val="nl-NL"/>
              </w:rPr>
            </w:pPr>
            <w:r w:rsidRPr="00E42A6B">
              <w:rPr>
                <w:rFonts w:ascii="Arial" w:hAnsi="Arial" w:cs="Arial"/>
                <w:b/>
                <w:sz w:val="20"/>
                <w:szCs w:val="20"/>
              </w:rPr>
              <w:t>Bước 1:</w:t>
            </w:r>
            <w:r w:rsidRPr="00E42A6B">
              <w:rPr>
                <w:rFonts w:ascii="Arial" w:hAnsi="Arial" w:cs="Arial"/>
                <w:sz w:val="20"/>
                <w:szCs w:val="20"/>
              </w:rPr>
              <w:t xml:space="preserve"> </w:t>
            </w:r>
            <w:r w:rsidRPr="00E42A6B">
              <w:rPr>
                <w:rFonts w:ascii="Arial" w:hAnsi="Arial" w:cs="Arial"/>
                <w:sz w:val="20"/>
                <w:szCs w:val="20"/>
                <w:lang w:val="nl-NL"/>
              </w:rPr>
              <w:t xml:space="preserve">Cơ quan, đơn vị, tổ chức, cá nhân sản xuất, kinh doanh lập Hồ sơ phương án giá theo quy định tại khoản 2 Thông tư 56/2014/TT-BTC và gửi 01 bản chính hoặc 01 bản sao có chứng thực của cơ quan có thẩm quyền cho cơ quan nhà nước có thẩm quyền theo quy định tại Điều 8, Điều 9, Điều 10 Nghị định số 177/2013/NĐ-CP và hướng dẫn tại Thông tư 56/2014/TT-BTC. </w:t>
            </w:r>
          </w:p>
          <w:p w:rsidR="002543D5" w:rsidRPr="00E42A6B" w:rsidRDefault="002543D5" w:rsidP="002543D5">
            <w:pPr>
              <w:spacing w:before="120" w:after="120"/>
              <w:ind w:firstLine="720"/>
              <w:jc w:val="both"/>
              <w:rPr>
                <w:rFonts w:ascii="Arial" w:hAnsi="Arial" w:cs="Arial"/>
                <w:b/>
                <w:sz w:val="20"/>
                <w:szCs w:val="20"/>
                <w:lang w:val="nl-NL"/>
              </w:rPr>
            </w:pPr>
            <w:r w:rsidRPr="00E42A6B">
              <w:rPr>
                <w:rFonts w:ascii="Arial" w:hAnsi="Arial" w:cs="Arial"/>
                <w:b/>
                <w:sz w:val="20"/>
                <w:szCs w:val="20"/>
                <w:lang w:val="nl-NL"/>
              </w:rPr>
              <w:t xml:space="preserve">Bước 2: </w:t>
            </w:r>
          </w:p>
          <w:p w:rsidR="002543D5" w:rsidRPr="00E42A6B" w:rsidRDefault="002543D5" w:rsidP="002543D5">
            <w:pPr>
              <w:pStyle w:val="BodyTextIndent"/>
              <w:spacing w:before="120"/>
              <w:ind w:left="0" w:firstLine="709"/>
              <w:jc w:val="both"/>
              <w:rPr>
                <w:rFonts w:ascii="Arial" w:hAnsi="Arial" w:cs="Arial"/>
                <w:sz w:val="20"/>
                <w:szCs w:val="20"/>
                <w:lang w:val="nl-NL"/>
              </w:rPr>
            </w:pPr>
            <w:r w:rsidRPr="00E42A6B">
              <w:rPr>
                <w:rFonts w:ascii="Arial" w:hAnsi="Arial" w:cs="Arial"/>
                <w:sz w:val="20"/>
                <w:szCs w:val="20"/>
                <w:lang w:val="nl-NL"/>
              </w:rPr>
              <w:t>a) Tham mưu cho Ủy ban nhân dân tỉnh quy định trình tự, quy trình thẩm định phương án giá và phân cấp quyết định giá;</w:t>
            </w:r>
          </w:p>
          <w:p w:rsidR="002543D5" w:rsidRPr="00E42A6B" w:rsidRDefault="002543D5" w:rsidP="002543D5">
            <w:pPr>
              <w:pStyle w:val="BodyTextIndent"/>
              <w:spacing w:before="120"/>
              <w:ind w:left="0" w:firstLine="709"/>
              <w:jc w:val="both"/>
              <w:rPr>
                <w:rFonts w:ascii="Arial" w:hAnsi="Arial" w:cs="Arial"/>
                <w:sz w:val="20"/>
                <w:szCs w:val="20"/>
                <w:lang w:val="nl-NL"/>
              </w:rPr>
            </w:pPr>
            <w:r w:rsidRPr="00E42A6B">
              <w:rPr>
                <w:rFonts w:ascii="Arial" w:hAnsi="Arial" w:cs="Arial"/>
                <w:sz w:val="20"/>
                <w:szCs w:val="20"/>
                <w:lang w:val="nl-NL"/>
              </w:rPr>
              <w:t>b) Tham mưu cho Ủy ban nhân dân tỉnh phân công cụ thể thẩm quyền, trách nhiệm của các cơ quan, đơn vị đối với hàng hóa, dịch vụ thuộc thẩm quyền định giá của Ủy ban nhân dân tỉnh;</w:t>
            </w:r>
          </w:p>
          <w:p w:rsidR="0056613A" w:rsidRPr="00A0790E" w:rsidRDefault="002543D5" w:rsidP="002543D5">
            <w:pPr>
              <w:pStyle w:val="BodyTextIndent"/>
              <w:spacing w:before="120"/>
              <w:ind w:left="0" w:firstLine="709"/>
              <w:jc w:val="both"/>
              <w:rPr>
                <w:rFonts w:ascii="Arial" w:hAnsi="Arial" w:cs="Arial"/>
                <w:sz w:val="20"/>
                <w:szCs w:val="20"/>
                <w:lang w:val="nl-NL"/>
              </w:rPr>
            </w:pPr>
            <w:r w:rsidRPr="00E42A6B">
              <w:rPr>
                <w:rFonts w:ascii="Arial" w:hAnsi="Arial" w:cs="Arial"/>
                <w:sz w:val="20"/>
                <w:szCs w:val="20"/>
                <w:lang w:val="nl-NL"/>
              </w:rPr>
              <w:t>c) Thẩm định trình Ủy ban nhân dân tỉnh quyết định giá hoặc thẩm định phương án giá theo đề nghị của Sở quản lý ngành, lĩnh vực, đơn vị sản xuất kinh doanh để Sở quản lý ngành, lĩnh vực, đơn vị sản xuất kinh doanh trình Ủy ban nhân dân tỉnh quyết định theo quy định của pháp luật về giá và quy định khác của pháp luật có liên quan.</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Cách thức thực hiện:</w:t>
            </w:r>
          </w:p>
        </w:tc>
        <w:tc>
          <w:tcPr>
            <w:tcW w:w="7058" w:type="dxa"/>
            <w:vAlign w:val="center"/>
          </w:tcPr>
          <w:p w:rsidR="0056613A" w:rsidRPr="006369D4" w:rsidRDefault="002543D5" w:rsidP="006369D4">
            <w:pPr>
              <w:spacing w:before="120" w:after="120"/>
              <w:jc w:val="both"/>
              <w:rPr>
                <w:rFonts w:ascii="Arial" w:hAnsi="Arial" w:cs="Arial"/>
                <w:sz w:val="20"/>
                <w:szCs w:val="20"/>
                <w:lang w:val="nl-NL"/>
              </w:rPr>
            </w:pPr>
            <w:r w:rsidRPr="00E42A6B">
              <w:rPr>
                <w:rFonts w:ascii="Arial" w:hAnsi="Arial" w:cs="Arial"/>
                <w:sz w:val="20"/>
                <w:szCs w:val="20"/>
                <w:lang w:val="nl-NL"/>
              </w:rPr>
              <w:t>Trực tiếp tại trụ sở cơ quan hoặc qua đường bưu điện.</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Thành phần, số lượng hồ sơ:</w:t>
            </w:r>
          </w:p>
        </w:tc>
        <w:tc>
          <w:tcPr>
            <w:tcW w:w="7058" w:type="dxa"/>
            <w:vAlign w:val="center"/>
          </w:tcPr>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Thành phần:</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Công văn đề nghị định giá, điều chỉnh giá theo mẫu quy định tại Phụ lục số 2a ban hành kèm Thông tư số 56/2014/TT-BTC;</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xml:space="preserve">+ Phương án giá thực hiện theo mẫu quy định tại Phụ lục số 2a ban hành kèm Thông tư số 56/2014/TT-BTC. </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Văn bản tổng hợp ý kiến tham gia của các cơ quan liên quan, đính kèm bản sao ý kiến của các cơ quan theo quy định (nếu có);</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Văn bản thẩm định phương án giá của các cơ quan có chức năng thẩm định theo quy định;</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xml:space="preserve">+  Các tài liệu khác có liên quan. </w:t>
            </w:r>
          </w:p>
          <w:p w:rsidR="0056613A" w:rsidRPr="002629C4"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Số lượng: 01 bộ</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Thời hạn giải quyết:</w:t>
            </w:r>
          </w:p>
        </w:tc>
        <w:tc>
          <w:tcPr>
            <w:tcW w:w="7058" w:type="dxa"/>
            <w:vAlign w:val="center"/>
          </w:tcPr>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Cơ quan, đơn vị có thẩm quyền thẩm định phương án giá quy định tại khoản 1 Điều 9 Nghị định 177/2013/NĐ-CP phải có ý kiến thẩm định bằng văn bản về nội dung phương án giá chậm nhất là 15 ngày làm việc, kể từ ngày nhận đủ Hồ sơ phương án giá theo quy định;</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Kể từ ngày nhận được phương án giá đã có ý kiến của cơ quan có liên quan và văn bản thẩm định của cơ quan có thẩm quyền, thời hạn quyết định giá của các cấp được quy định như sau:</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Tối đa không quá 15 ngày làm việc đối với giá hàng hóa, dịch vụ do Chính phủ, Thủ tướng Chính phủ quyết định;</w:t>
            </w:r>
          </w:p>
          <w:p w:rsidR="002543D5" w:rsidRPr="00E42A6B"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xml:space="preserve">+ Tối đa không quá 10 ngày làm việc đối với giá hàng hóa, dịch vụ </w:t>
            </w:r>
            <w:r w:rsidRPr="00E42A6B">
              <w:rPr>
                <w:rFonts w:ascii="Arial" w:hAnsi="Arial" w:cs="Arial"/>
                <w:sz w:val="20"/>
                <w:szCs w:val="20"/>
                <w:lang w:val="sv-SE"/>
              </w:rPr>
              <w:lastRenderedPageBreak/>
              <w:t>do các Bộ, ngành quyết định;</w:t>
            </w:r>
          </w:p>
          <w:p w:rsidR="0056613A" w:rsidRPr="00A0790E" w:rsidRDefault="002543D5" w:rsidP="002543D5">
            <w:pPr>
              <w:spacing w:before="120" w:after="120"/>
              <w:ind w:firstLine="720"/>
              <w:jc w:val="both"/>
              <w:rPr>
                <w:rFonts w:ascii="Arial" w:hAnsi="Arial" w:cs="Arial"/>
                <w:sz w:val="20"/>
                <w:szCs w:val="20"/>
                <w:lang w:val="sv-SE"/>
              </w:rPr>
            </w:pPr>
            <w:r w:rsidRPr="00E42A6B">
              <w:rPr>
                <w:rFonts w:ascii="Arial" w:hAnsi="Arial" w:cs="Arial"/>
                <w:sz w:val="20"/>
                <w:szCs w:val="20"/>
                <w:lang w:val="sv-SE"/>
              </w:rPr>
              <w:t>- Trường hợp cần thiết phải kéo 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lastRenderedPageBreak/>
              <w:t>Đối tượng thực hiện thủ tục hành chính:</w:t>
            </w:r>
          </w:p>
        </w:tc>
        <w:tc>
          <w:tcPr>
            <w:tcW w:w="7058" w:type="dxa"/>
            <w:vAlign w:val="center"/>
          </w:tcPr>
          <w:p w:rsidR="00B54E86" w:rsidRPr="00B54E86" w:rsidRDefault="002543D5" w:rsidP="00B54E86">
            <w:pPr>
              <w:spacing w:before="120" w:after="120"/>
              <w:ind w:firstLine="720"/>
              <w:jc w:val="both"/>
              <w:rPr>
                <w:rFonts w:ascii="Arial" w:hAnsi="Arial" w:cs="Arial"/>
                <w:b/>
                <w:sz w:val="20"/>
                <w:szCs w:val="20"/>
                <w:lang w:val="sv-SE"/>
              </w:rPr>
            </w:pPr>
            <w:r w:rsidRPr="00E42A6B">
              <w:rPr>
                <w:rFonts w:ascii="Arial" w:hAnsi="Arial" w:cs="Arial"/>
                <w:sz w:val="20"/>
                <w:szCs w:val="20"/>
                <w:lang w:val="sv-SE"/>
              </w:rPr>
              <w:t>Cá nhân, tổ chức.</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Cơ quan thực hiện thủ tục hành chính:</w:t>
            </w:r>
          </w:p>
        </w:tc>
        <w:tc>
          <w:tcPr>
            <w:tcW w:w="7058" w:type="dxa"/>
            <w:vAlign w:val="center"/>
          </w:tcPr>
          <w:p w:rsidR="0056613A" w:rsidRPr="00985B4C" w:rsidRDefault="002543D5" w:rsidP="006369D4">
            <w:pPr>
              <w:spacing w:before="120" w:after="120"/>
              <w:ind w:firstLine="720"/>
              <w:jc w:val="both"/>
              <w:rPr>
                <w:rFonts w:ascii="Arial" w:hAnsi="Arial" w:cs="Arial"/>
                <w:sz w:val="20"/>
                <w:szCs w:val="20"/>
                <w:lang w:val="sv-SE"/>
              </w:rPr>
            </w:pPr>
            <w:r w:rsidRPr="00E42A6B">
              <w:rPr>
                <w:rFonts w:ascii="Arial" w:hAnsi="Arial" w:cs="Arial"/>
                <w:sz w:val="20"/>
                <w:szCs w:val="20"/>
                <w:lang w:val="sv-SE"/>
              </w:rPr>
              <w:t>Sở ban ngành địa phương.</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Kết quả thực hiện thủ tục hành chính:</w:t>
            </w:r>
          </w:p>
        </w:tc>
        <w:tc>
          <w:tcPr>
            <w:tcW w:w="7058" w:type="dxa"/>
            <w:vAlign w:val="center"/>
          </w:tcPr>
          <w:p w:rsidR="0056613A" w:rsidRPr="00A329D0" w:rsidRDefault="002543D5" w:rsidP="002543D5">
            <w:pPr>
              <w:spacing w:before="120" w:after="120"/>
              <w:rPr>
                <w:rFonts w:ascii="Arial" w:hAnsi="Arial" w:cs="Arial"/>
                <w:sz w:val="20"/>
                <w:szCs w:val="20"/>
                <w:lang w:val="sv-SE"/>
              </w:rPr>
            </w:pPr>
            <w:r w:rsidRPr="00E42A6B">
              <w:rPr>
                <w:rFonts w:ascii="Arial" w:hAnsi="Arial" w:cs="Arial"/>
                <w:sz w:val="20"/>
                <w:szCs w:val="20"/>
                <w:lang w:val="sv-SE"/>
              </w:rPr>
              <w:t>Quyết định hành chính</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Phí, Lệ phí (nếu có):</w:t>
            </w:r>
          </w:p>
        </w:tc>
        <w:tc>
          <w:tcPr>
            <w:tcW w:w="7058" w:type="dxa"/>
            <w:vAlign w:val="center"/>
          </w:tcPr>
          <w:p w:rsidR="00315ED6" w:rsidRPr="001A2C98" w:rsidRDefault="002543D5" w:rsidP="001A2C98">
            <w:pPr>
              <w:spacing w:before="120" w:after="120"/>
              <w:jc w:val="both"/>
              <w:rPr>
                <w:rFonts w:ascii="Arial" w:hAnsi="Arial" w:cs="Arial"/>
                <w:sz w:val="20"/>
                <w:szCs w:val="20"/>
                <w:lang w:val="sv-SE"/>
              </w:rPr>
            </w:pPr>
            <w:r w:rsidRPr="00E42A6B">
              <w:rPr>
                <w:rFonts w:ascii="Arial" w:hAnsi="Arial" w:cs="Arial"/>
                <w:sz w:val="20"/>
                <w:szCs w:val="20"/>
                <w:lang w:val="sv-SE"/>
              </w:rPr>
              <w:t>không</w:t>
            </w:r>
          </w:p>
        </w:tc>
      </w:tr>
      <w:tr w:rsidR="0056613A" w:rsidTr="002629C4">
        <w:tc>
          <w:tcPr>
            <w:tcW w:w="2518" w:type="dxa"/>
            <w:vAlign w:val="center"/>
          </w:tcPr>
          <w:p w:rsidR="0056613A" w:rsidRPr="00325FD2" w:rsidRDefault="0056613A" w:rsidP="0056613A">
            <w:pPr>
              <w:spacing w:after="0" w:line="240" w:lineRule="auto"/>
              <w:rPr>
                <w:rFonts w:ascii="Times New Roman" w:hAnsi="Times New Roman"/>
                <w:sz w:val="24"/>
                <w:szCs w:val="24"/>
              </w:rPr>
            </w:pPr>
            <w:r w:rsidRPr="00325FD2">
              <w:rPr>
                <w:rFonts w:ascii="Times New Roman" w:hAnsi="Times New Roman"/>
                <w:b/>
                <w:bCs/>
                <w:sz w:val="24"/>
                <w:szCs w:val="24"/>
              </w:rPr>
              <w:t>Tên mẫu đơn, mẫu tờ khai (nếu có và đề nghị đính kèm):</w:t>
            </w:r>
          </w:p>
        </w:tc>
        <w:tc>
          <w:tcPr>
            <w:tcW w:w="7058" w:type="dxa"/>
            <w:vAlign w:val="center"/>
          </w:tcPr>
          <w:p w:rsidR="002543D5" w:rsidRPr="00E42A6B" w:rsidRDefault="002543D5" w:rsidP="002543D5">
            <w:pPr>
              <w:spacing w:before="120" w:after="120"/>
              <w:jc w:val="both"/>
              <w:rPr>
                <w:rFonts w:ascii="Arial" w:hAnsi="Arial" w:cs="Arial"/>
                <w:sz w:val="20"/>
                <w:szCs w:val="20"/>
                <w:lang w:val="sv-SE"/>
              </w:rPr>
            </w:pPr>
            <w:r w:rsidRPr="00E42A6B">
              <w:rPr>
                <w:rFonts w:ascii="Arial" w:hAnsi="Arial" w:cs="Arial"/>
                <w:sz w:val="20"/>
                <w:szCs w:val="20"/>
                <w:lang w:val="sv-SE"/>
              </w:rPr>
              <w:t>Hồ sơ phương án giá thực hiện theo mẫu hướng dẫn tại Phụ lục số 2a ban hành kèm Thông tư số</w:t>
            </w:r>
            <w:r>
              <w:rPr>
                <w:rFonts w:ascii="Arial" w:hAnsi="Arial" w:cs="Arial"/>
                <w:sz w:val="20"/>
                <w:szCs w:val="20"/>
                <w:lang w:val="sv-SE"/>
              </w:rPr>
              <w:t xml:space="preserve"> 56/2014/TT-BTC</w:t>
            </w:r>
          </w:p>
          <w:p w:rsidR="00076194" w:rsidRPr="001A2C98" w:rsidRDefault="00076194" w:rsidP="001A2C98">
            <w:pPr>
              <w:spacing w:before="120" w:after="120"/>
              <w:ind w:left="34"/>
              <w:jc w:val="both"/>
              <w:rPr>
                <w:rFonts w:ascii="Arial" w:hAnsi="Arial" w:cs="Arial"/>
                <w:sz w:val="20"/>
                <w:szCs w:val="20"/>
              </w:rPr>
            </w:pPr>
          </w:p>
        </w:tc>
      </w:tr>
      <w:tr w:rsidR="0056613A" w:rsidTr="002629C4">
        <w:tc>
          <w:tcPr>
            <w:tcW w:w="2518" w:type="dxa"/>
            <w:vAlign w:val="center"/>
          </w:tcPr>
          <w:p w:rsidR="0056613A" w:rsidRPr="00325FD2" w:rsidRDefault="0056613A" w:rsidP="0056613A">
            <w:pPr>
              <w:spacing w:after="0" w:line="240" w:lineRule="auto"/>
              <w:rPr>
                <w:rFonts w:ascii="Times New Roman" w:hAnsi="Times New Roman"/>
                <w:sz w:val="24"/>
                <w:szCs w:val="24"/>
              </w:rPr>
            </w:pPr>
            <w:r w:rsidRPr="00325FD2">
              <w:rPr>
                <w:rFonts w:ascii="Times New Roman" w:hAnsi="Times New Roman"/>
                <w:b/>
                <w:bCs/>
                <w:sz w:val="24"/>
                <w:szCs w:val="24"/>
              </w:rPr>
              <w:t>Yêu cầu, điều kiện thực hiện thủ tục hành chính (nếu có):</w:t>
            </w:r>
          </w:p>
        </w:tc>
        <w:tc>
          <w:tcPr>
            <w:tcW w:w="7058" w:type="dxa"/>
            <w:vAlign w:val="center"/>
          </w:tcPr>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xml:space="preserve">Phương án giá bao gồm những nội dung chính như sau: </w:t>
            </w:r>
          </w:p>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Sự cần thiết và các mục tiêu định giá hoặc điều chỉnh giá (trong đó nêu rõ tình hình sản xuất, kinh doanh của hàng hoá, dịch vụ cần định giá hoặc điều chỉnh giá; diễn biến giá cả thị trường trong nước và thế giới; sự cần thiết phải thay đổi giá...);</w:t>
            </w:r>
          </w:p>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xml:space="preserve">- Các căn cứ định giá hoặc điều chỉnh giá; </w:t>
            </w:r>
          </w:p>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Bảng tính toán các yếu tố hình thành giá mua, giá bán; các mức giá kiến nghị được tính theo phương pháp định giá chung do Bộ Tài chính quy định và hướng dẫn phương pháp định giá của cơ quan có thẩm quyền theo quy định của pháp luật;</w:t>
            </w:r>
          </w:p>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So sánh các yếu tố hình thành giá, mức giá của phương án giá đề nghị với các yếu tố hình thành giá, mức giá của phương án giá được duyệt lần trước liền kề; nêu rõ nguyên nhân tăng, giảm;</w:t>
            </w:r>
          </w:p>
          <w:p w:rsidR="002543D5" w:rsidRPr="00E42A6B"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So sánh mức giá đề nghị với mức giá hàng hóa, dịch vụ tương tự ở thị trường - Dự kiến tác động của mức giá mới đến sản xuất, đời sống và đến thu chi của ngân sách nhà nước (nếu có);</w:t>
            </w:r>
          </w:p>
          <w:p w:rsidR="0056613A" w:rsidRPr="00985B4C" w:rsidRDefault="002543D5" w:rsidP="0089437C">
            <w:pPr>
              <w:spacing w:before="120" w:after="120"/>
              <w:ind w:firstLine="34"/>
              <w:jc w:val="both"/>
              <w:rPr>
                <w:rFonts w:ascii="Arial" w:hAnsi="Arial" w:cs="Arial"/>
                <w:sz w:val="20"/>
                <w:szCs w:val="20"/>
                <w:lang w:val="sv-SE"/>
              </w:rPr>
            </w:pPr>
            <w:r w:rsidRPr="00E42A6B">
              <w:rPr>
                <w:rFonts w:ascii="Arial" w:hAnsi="Arial" w:cs="Arial"/>
                <w:sz w:val="20"/>
                <w:szCs w:val="20"/>
                <w:lang w:val="sv-SE"/>
              </w:rPr>
              <w:t xml:space="preserve">- Các biện pháp tổ chức triển khai thực hiện mức giá mới (nếu có). </w:t>
            </w:r>
          </w:p>
        </w:tc>
      </w:tr>
      <w:tr w:rsidR="0056613A" w:rsidTr="002629C4">
        <w:tc>
          <w:tcPr>
            <w:tcW w:w="2518" w:type="dxa"/>
            <w:vAlign w:val="center"/>
          </w:tcPr>
          <w:p w:rsidR="0056613A" w:rsidRPr="00325FD2" w:rsidRDefault="0056613A" w:rsidP="002629C4">
            <w:pPr>
              <w:spacing w:after="0" w:line="240" w:lineRule="auto"/>
              <w:rPr>
                <w:rFonts w:ascii="Times New Roman" w:hAnsi="Times New Roman"/>
                <w:sz w:val="24"/>
                <w:szCs w:val="24"/>
              </w:rPr>
            </w:pPr>
            <w:r w:rsidRPr="00325FD2">
              <w:rPr>
                <w:rFonts w:ascii="Times New Roman" w:hAnsi="Times New Roman"/>
                <w:b/>
                <w:bCs/>
                <w:sz w:val="24"/>
                <w:szCs w:val="24"/>
              </w:rPr>
              <w:t>Căn cứ pháp lý của thủ tục hành chính:</w:t>
            </w:r>
          </w:p>
        </w:tc>
        <w:tc>
          <w:tcPr>
            <w:tcW w:w="7058" w:type="dxa"/>
            <w:vAlign w:val="center"/>
          </w:tcPr>
          <w:p w:rsidR="002543D5" w:rsidRPr="00E42A6B" w:rsidRDefault="002543D5" w:rsidP="0089437C">
            <w:pPr>
              <w:spacing w:before="120" w:after="120"/>
              <w:ind w:left="34"/>
              <w:jc w:val="both"/>
              <w:rPr>
                <w:rFonts w:ascii="Arial" w:hAnsi="Arial" w:cs="Arial"/>
                <w:sz w:val="20"/>
                <w:szCs w:val="20"/>
                <w:lang w:val="sv-SE"/>
              </w:rPr>
            </w:pPr>
            <w:r w:rsidRPr="00E42A6B">
              <w:rPr>
                <w:rFonts w:ascii="Arial" w:hAnsi="Arial" w:cs="Arial"/>
                <w:sz w:val="20"/>
                <w:szCs w:val="20"/>
                <w:lang w:val="sv-SE"/>
              </w:rPr>
              <w:t>- Luật Giá số 11/2012/QH13 (có hiệu lực kể từ ngày 01/01/2013);</w:t>
            </w:r>
          </w:p>
          <w:p w:rsidR="002543D5" w:rsidRPr="00E42A6B" w:rsidRDefault="002543D5" w:rsidP="0089437C">
            <w:pPr>
              <w:spacing w:before="120" w:after="120"/>
              <w:ind w:left="34"/>
              <w:jc w:val="both"/>
              <w:rPr>
                <w:rFonts w:ascii="Arial" w:hAnsi="Arial" w:cs="Arial"/>
                <w:sz w:val="20"/>
                <w:szCs w:val="20"/>
                <w:lang w:val="sv-SE"/>
              </w:rPr>
            </w:pPr>
            <w:r w:rsidRPr="00E42A6B">
              <w:rPr>
                <w:rFonts w:ascii="Arial" w:hAnsi="Arial" w:cs="Arial"/>
                <w:sz w:val="20"/>
                <w:szCs w:val="20"/>
                <w:lang w:val="sv-SE"/>
              </w:rPr>
              <w:t>- Nghị định số 177/2013/NĐ-CP ngày 14/11/2013 của Chính phủ quy định chi tiết và hướng dẫn thi hành một số điều của Luật Giá;</w:t>
            </w:r>
          </w:p>
          <w:p w:rsidR="0056613A" w:rsidRPr="003D3720" w:rsidRDefault="002543D5" w:rsidP="0089437C">
            <w:pPr>
              <w:spacing w:before="120" w:after="120"/>
              <w:ind w:left="34"/>
              <w:jc w:val="both"/>
              <w:rPr>
                <w:rFonts w:ascii="Arial" w:hAnsi="Arial" w:cs="Arial"/>
                <w:sz w:val="20"/>
                <w:szCs w:val="20"/>
                <w:lang w:val="nl-NL"/>
              </w:rPr>
            </w:pPr>
            <w:r w:rsidRPr="00E42A6B">
              <w:rPr>
                <w:rFonts w:ascii="Arial" w:hAnsi="Arial" w:cs="Arial"/>
                <w:sz w:val="20"/>
                <w:szCs w:val="20"/>
                <w:lang w:val="sv-SE"/>
              </w:rPr>
              <w:t xml:space="preserve">- </w:t>
            </w:r>
            <w:r w:rsidRPr="00E42A6B">
              <w:rPr>
                <w:rFonts w:ascii="Arial" w:hAnsi="Arial" w:cs="Arial"/>
                <w:sz w:val="20"/>
                <w:szCs w:val="20"/>
                <w:lang w:val="vi-VN"/>
              </w:rPr>
              <w:t xml:space="preserve">Thông tư </w:t>
            </w:r>
            <w:r w:rsidRPr="00E42A6B">
              <w:rPr>
                <w:rFonts w:ascii="Arial" w:hAnsi="Arial" w:cs="Arial"/>
                <w:sz w:val="20"/>
                <w:szCs w:val="20"/>
                <w:lang w:val="sv-SE"/>
              </w:rPr>
              <w:t xml:space="preserve">số </w:t>
            </w:r>
            <w:r w:rsidRPr="00E42A6B">
              <w:rPr>
                <w:rFonts w:ascii="Arial" w:hAnsi="Arial" w:cs="Arial"/>
                <w:sz w:val="20"/>
                <w:szCs w:val="20"/>
                <w:lang w:val="vi-VN"/>
              </w:rPr>
              <w:t xml:space="preserve">56/2014/TT-BTC ngày 28/4/2014 </w:t>
            </w:r>
            <w:r w:rsidR="00AC2BE5">
              <w:rPr>
                <w:rFonts w:ascii="Arial" w:hAnsi="Arial" w:cs="Arial"/>
                <w:sz w:val="20"/>
                <w:szCs w:val="20"/>
              </w:rPr>
              <w:t xml:space="preserve">hướng dẫn thực hiện Nghị định </w:t>
            </w:r>
            <w:r w:rsidR="00AC2BE5" w:rsidRPr="00E42A6B">
              <w:rPr>
                <w:rFonts w:ascii="Arial" w:hAnsi="Arial" w:cs="Arial"/>
                <w:sz w:val="20"/>
                <w:szCs w:val="20"/>
                <w:lang w:val="sv-SE"/>
              </w:rPr>
              <w:t>số 177/2013/NĐ-CP ngày 14/11/2013 của Chính phủ quy định chi tiết và hướng dẫn thi hành một số điều của Luậ</w:t>
            </w:r>
            <w:r w:rsidR="00AC2BE5">
              <w:rPr>
                <w:rFonts w:ascii="Arial" w:hAnsi="Arial" w:cs="Arial"/>
                <w:sz w:val="20"/>
                <w:szCs w:val="20"/>
                <w:lang w:val="sv-SE"/>
              </w:rPr>
              <w:t>t Giá.</w:t>
            </w:r>
          </w:p>
        </w:tc>
      </w:tr>
    </w:tbl>
    <w:p w:rsidR="0056613A" w:rsidRDefault="0056613A" w:rsidP="0056613A">
      <w:pPr>
        <w:spacing w:after="0" w:line="240" w:lineRule="auto"/>
        <w:jc w:val="center"/>
        <w:rPr>
          <w:rFonts w:ascii="Times New Roman" w:hAnsi="Times New Roman"/>
          <w:b/>
          <w:sz w:val="28"/>
          <w:szCs w:val="28"/>
          <w:lang w:val="nl-NL"/>
        </w:rPr>
      </w:pPr>
    </w:p>
    <w:sectPr w:rsidR="0056613A" w:rsidSect="00462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A0152"/>
    <w:multiLevelType w:val="hybridMultilevel"/>
    <w:tmpl w:val="76E6F10C"/>
    <w:lvl w:ilvl="0" w:tplc="FD600906">
      <w:start w:val="3"/>
      <w:numFmt w:val="bullet"/>
      <w:lvlText w:val="-"/>
      <w:lvlJc w:val="left"/>
      <w:pPr>
        <w:tabs>
          <w:tab w:val="num" w:pos="780"/>
        </w:tabs>
        <w:ind w:left="780" w:hanging="360"/>
      </w:pPr>
      <w:rPr>
        <w:rFonts w:ascii="Times New Roman" w:eastAsia="Times New Roman" w:hAnsi="Times New Roman" w:hint="default"/>
      </w:rPr>
    </w:lvl>
    <w:lvl w:ilvl="1" w:tplc="042A0003" w:tentative="1">
      <w:start w:val="1"/>
      <w:numFmt w:val="bullet"/>
      <w:lvlText w:val="o"/>
      <w:lvlJc w:val="left"/>
      <w:pPr>
        <w:tabs>
          <w:tab w:val="num" w:pos="1500"/>
        </w:tabs>
        <w:ind w:left="1500" w:hanging="360"/>
      </w:pPr>
      <w:rPr>
        <w:rFonts w:ascii="Courier New" w:hAnsi="Courier New" w:hint="default"/>
      </w:rPr>
    </w:lvl>
    <w:lvl w:ilvl="2" w:tplc="042A0005" w:tentative="1">
      <w:start w:val="1"/>
      <w:numFmt w:val="bullet"/>
      <w:lvlText w:val=""/>
      <w:lvlJc w:val="left"/>
      <w:pPr>
        <w:tabs>
          <w:tab w:val="num" w:pos="2220"/>
        </w:tabs>
        <w:ind w:left="2220" w:hanging="360"/>
      </w:pPr>
      <w:rPr>
        <w:rFonts w:ascii="Wingdings" w:hAnsi="Wingdings" w:hint="default"/>
      </w:rPr>
    </w:lvl>
    <w:lvl w:ilvl="3" w:tplc="042A0001" w:tentative="1">
      <w:start w:val="1"/>
      <w:numFmt w:val="bullet"/>
      <w:lvlText w:val=""/>
      <w:lvlJc w:val="left"/>
      <w:pPr>
        <w:tabs>
          <w:tab w:val="num" w:pos="2940"/>
        </w:tabs>
        <w:ind w:left="2940" w:hanging="360"/>
      </w:pPr>
      <w:rPr>
        <w:rFonts w:ascii="Symbol" w:hAnsi="Symbol" w:hint="default"/>
      </w:rPr>
    </w:lvl>
    <w:lvl w:ilvl="4" w:tplc="042A0003" w:tentative="1">
      <w:start w:val="1"/>
      <w:numFmt w:val="bullet"/>
      <w:lvlText w:val="o"/>
      <w:lvlJc w:val="left"/>
      <w:pPr>
        <w:tabs>
          <w:tab w:val="num" w:pos="3660"/>
        </w:tabs>
        <w:ind w:left="3660" w:hanging="360"/>
      </w:pPr>
      <w:rPr>
        <w:rFonts w:ascii="Courier New" w:hAnsi="Courier New" w:hint="default"/>
      </w:rPr>
    </w:lvl>
    <w:lvl w:ilvl="5" w:tplc="042A0005" w:tentative="1">
      <w:start w:val="1"/>
      <w:numFmt w:val="bullet"/>
      <w:lvlText w:val=""/>
      <w:lvlJc w:val="left"/>
      <w:pPr>
        <w:tabs>
          <w:tab w:val="num" w:pos="4380"/>
        </w:tabs>
        <w:ind w:left="4380" w:hanging="360"/>
      </w:pPr>
      <w:rPr>
        <w:rFonts w:ascii="Wingdings" w:hAnsi="Wingdings" w:hint="default"/>
      </w:rPr>
    </w:lvl>
    <w:lvl w:ilvl="6" w:tplc="042A0001" w:tentative="1">
      <w:start w:val="1"/>
      <w:numFmt w:val="bullet"/>
      <w:lvlText w:val=""/>
      <w:lvlJc w:val="left"/>
      <w:pPr>
        <w:tabs>
          <w:tab w:val="num" w:pos="5100"/>
        </w:tabs>
        <w:ind w:left="5100" w:hanging="360"/>
      </w:pPr>
      <w:rPr>
        <w:rFonts w:ascii="Symbol" w:hAnsi="Symbol" w:hint="default"/>
      </w:rPr>
    </w:lvl>
    <w:lvl w:ilvl="7" w:tplc="042A0003" w:tentative="1">
      <w:start w:val="1"/>
      <w:numFmt w:val="bullet"/>
      <w:lvlText w:val="o"/>
      <w:lvlJc w:val="left"/>
      <w:pPr>
        <w:tabs>
          <w:tab w:val="num" w:pos="5820"/>
        </w:tabs>
        <w:ind w:left="5820" w:hanging="360"/>
      </w:pPr>
      <w:rPr>
        <w:rFonts w:ascii="Courier New" w:hAnsi="Courier New" w:hint="default"/>
      </w:rPr>
    </w:lvl>
    <w:lvl w:ilvl="8" w:tplc="042A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304C0"/>
    <w:rsid w:val="00076194"/>
    <w:rsid w:val="0008348A"/>
    <w:rsid w:val="0008741D"/>
    <w:rsid w:val="00160624"/>
    <w:rsid w:val="001A2C98"/>
    <w:rsid w:val="001D2D0C"/>
    <w:rsid w:val="001E3E86"/>
    <w:rsid w:val="002059B7"/>
    <w:rsid w:val="00244884"/>
    <w:rsid w:val="002543D5"/>
    <w:rsid w:val="002629C4"/>
    <w:rsid w:val="002938FD"/>
    <w:rsid w:val="003024C3"/>
    <w:rsid w:val="00307C63"/>
    <w:rsid w:val="00315ED6"/>
    <w:rsid w:val="00325FD2"/>
    <w:rsid w:val="00326744"/>
    <w:rsid w:val="00335AA5"/>
    <w:rsid w:val="003D3720"/>
    <w:rsid w:val="003F2149"/>
    <w:rsid w:val="004105C9"/>
    <w:rsid w:val="0046214E"/>
    <w:rsid w:val="00467398"/>
    <w:rsid w:val="004C3B8A"/>
    <w:rsid w:val="00531F42"/>
    <w:rsid w:val="005410C2"/>
    <w:rsid w:val="0056613A"/>
    <w:rsid w:val="00596439"/>
    <w:rsid w:val="006369D4"/>
    <w:rsid w:val="00640DCF"/>
    <w:rsid w:val="0064712E"/>
    <w:rsid w:val="006629D4"/>
    <w:rsid w:val="006E3212"/>
    <w:rsid w:val="006F4C02"/>
    <w:rsid w:val="007B541E"/>
    <w:rsid w:val="007F1EC6"/>
    <w:rsid w:val="0089437C"/>
    <w:rsid w:val="00897A39"/>
    <w:rsid w:val="008B3974"/>
    <w:rsid w:val="008B518E"/>
    <w:rsid w:val="008F7C3D"/>
    <w:rsid w:val="00936A1C"/>
    <w:rsid w:val="00985B4C"/>
    <w:rsid w:val="00A051AD"/>
    <w:rsid w:val="00A0790E"/>
    <w:rsid w:val="00A22B5F"/>
    <w:rsid w:val="00A329D0"/>
    <w:rsid w:val="00A86233"/>
    <w:rsid w:val="00AB1699"/>
    <w:rsid w:val="00AC053E"/>
    <w:rsid w:val="00AC2BE5"/>
    <w:rsid w:val="00AF7EDC"/>
    <w:rsid w:val="00B304C0"/>
    <w:rsid w:val="00B54E86"/>
    <w:rsid w:val="00B605E3"/>
    <w:rsid w:val="00BF3788"/>
    <w:rsid w:val="00BF4BA2"/>
    <w:rsid w:val="00C46221"/>
    <w:rsid w:val="00CE2875"/>
    <w:rsid w:val="00D95558"/>
    <w:rsid w:val="00DC497A"/>
    <w:rsid w:val="00DC5E66"/>
    <w:rsid w:val="00E307DB"/>
    <w:rsid w:val="00E63737"/>
    <w:rsid w:val="00E85203"/>
    <w:rsid w:val="00EA683E"/>
    <w:rsid w:val="00EC32E6"/>
    <w:rsid w:val="00F52D0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4E"/>
    <w:pPr>
      <w:spacing w:after="200" w:line="276" w:lineRule="auto"/>
    </w:pPr>
    <w:rPr>
      <w:lang w:val="en-US" w:eastAsia="en-US"/>
    </w:rPr>
  </w:style>
  <w:style w:type="paragraph" w:styleId="Heading1">
    <w:name w:val="heading 1"/>
    <w:basedOn w:val="Normal"/>
    <w:next w:val="Normal"/>
    <w:link w:val="Heading1Char"/>
    <w:qFormat/>
    <w:locked/>
    <w:rsid w:val="003D372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304C0"/>
    <w:rPr>
      <w:rFonts w:cs="Times New Roman"/>
      <w:b/>
      <w:bCs/>
    </w:rPr>
  </w:style>
  <w:style w:type="character" w:styleId="Hyperlink">
    <w:name w:val="Hyperlink"/>
    <w:basedOn w:val="DefaultParagraphFont"/>
    <w:uiPriority w:val="99"/>
    <w:semiHidden/>
    <w:rsid w:val="00B304C0"/>
    <w:rPr>
      <w:rFonts w:cs="Times New Roman"/>
      <w:color w:val="0000FF"/>
      <w:u w:val="single"/>
    </w:rPr>
  </w:style>
  <w:style w:type="paragraph" w:styleId="NormalWeb">
    <w:name w:val="Normal (Web)"/>
    <w:basedOn w:val="Normal"/>
    <w:unhideWhenUsed/>
    <w:rsid w:val="00307C6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locked/>
    <w:rsid w:val="005661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3720"/>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uiPriority w:val="99"/>
    <w:unhideWhenUsed/>
    <w:rsid w:val="002543D5"/>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2543D5"/>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56038340">
      <w:marLeft w:val="0"/>
      <w:marRight w:val="0"/>
      <w:marTop w:val="0"/>
      <w:marBottom w:val="0"/>
      <w:divBdr>
        <w:top w:val="none" w:sz="0" w:space="0" w:color="auto"/>
        <w:left w:val="none" w:sz="0" w:space="0" w:color="auto"/>
        <w:bottom w:val="none" w:sz="0" w:space="0" w:color="auto"/>
        <w:right w:val="none" w:sz="0" w:space="0" w:color="auto"/>
      </w:divBdr>
      <w:divsChild>
        <w:div w:id="1556038325">
          <w:marLeft w:val="0"/>
          <w:marRight w:val="0"/>
          <w:marTop w:val="0"/>
          <w:marBottom w:val="0"/>
          <w:divBdr>
            <w:top w:val="none" w:sz="0" w:space="0" w:color="auto"/>
            <w:left w:val="none" w:sz="0" w:space="0" w:color="auto"/>
            <w:bottom w:val="none" w:sz="0" w:space="0" w:color="auto"/>
            <w:right w:val="none" w:sz="0" w:space="0" w:color="auto"/>
          </w:divBdr>
        </w:div>
        <w:div w:id="1556038326">
          <w:marLeft w:val="0"/>
          <w:marRight w:val="0"/>
          <w:marTop w:val="0"/>
          <w:marBottom w:val="0"/>
          <w:divBdr>
            <w:top w:val="none" w:sz="0" w:space="0" w:color="auto"/>
            <w:left w:val="none" w:sz="0" w:space="0" w:color="auto"/>
            <w:bottom w:val="none" w:sz="0" w:space="0" w:color="auto"/>
            <w:right w:val="none" w:sz="0" w:space="0" w:color="auto"/>
          </w:divBdr>
        </w:div>
        <w:div w:id="1556038327">
          <w:marLeft w:val="0"/>
          <w:marRight w:val="0"/>
          <w:marTop w:val="0"/>
          <w:marBottom w:val="0"/>
          <w:divBdr>
            <w:top w:val="none" w:sz="0" w:space="0" w:color="auto"/>
            <w:left w:val="none" w:sz="0" w:space="0" w:color="auto"/>
            <w:bottom w:val="none" w:sz="0" w:space="0" w:color="auto"/>
            <w:right w:val="none" w:sz="0" w:space="0" w:color="auto"/>
          </w:divBdr>
        </w:div>
        <w:div w:id="1556038328">
          <w:marLeft w:val="0"/>
          <w:marRight w:val="0"/>
          <w:marTop w:val="0"/>
          <w:marBottom w:val="0"/>
          <w:divBdr>
            <w:top w:val="none" w:sz="0" w:space="0" w:color="auto"/>
            <w:left w:val="none" w:sz="0" w:space="0" w:color="auto"/>
            <w:bottom w:val="none" w:sz="0" w:space="0" w:color="auto"/>
            <w:right w:val="none" w:sz="0" w:space="0" w:color="auto"/>
          </w:divBdr>
        </w:div>
        <w:div w:id="1556038329">
          <w:marLeft w:val="0"/>
          <w:marRight w:val="0"/>
          <w:marTop w:val="0"/>
          <w:marBottom w:val="0"/>
          <w:divBdr>
            <w:top w:val="none" w:sz="0" w:space="0" w:color="auto"/>
            <w:left w:val="none" w:sz="0" w:space="0" w:color="auto"/>
            <w:bottom w:val="none" w:sz="0" w:space="0" w:color="auto"/>
            <w:right w:val="none" w:sz="0" w:space="0" w:color="auto"/>
          </w:divBdr>
        </w:div>
        <w:div w:id="1556038330">
          <w:marLeft w:val="0"/>
          <w:marRight w:val="0"/>
          <w:marTop w:val="0"/>
          <w:marBottom w:val="0"/>
          <w:divBdr>
            <w:top w:val="none" w:sz="0" w:space="0" w:color="auto"/>
            <w:left w:val="none" w:sz="0" w:space="0" w:color="auto"/>
            <w:bottom w:val="none" w:sz="0" w:space="0" w:color="auto"/>
            <w:right w:val="none" w:sz="0" w:space="0" w:color="auto"/>
          </w:divBdr>
        </w:div>
        <w:div w:id="1556038331">
          <w:marLeft w:val="0"/>
          <w:marRight w:val="0"/>
          <w:marTop w:val="0"/>
          <w:marBottom w:val="0"/>
          <w:divBdr>
            <w:top w:val="none" w:sz="0" w:space="0" w:color="auto"/>
            <w:left w:val="none" w:sz="0" w:space="0" w:color="auto"/>
            <w:bottom w:val="none" w:sz="0" w:space="0" w:color="auto"/>
            <w:right w:val="none" w:sz="0" w:space="0" w:color="auto"/>
          </w:divBdr>
        </w:div>
        <w:div w:id="1556038332">
          <w:marLeft w:val="0"/>
          <w:marRight w:val="0"/>
          <w:marTop w:val="0"/>
          <w:marBottom w:val="0"/>
          <w:divBdr>
            <w:top w:val="none" w:sz="0" w:space="0" w:color="auto"/>
            <w:left w:val="none" w:sz="0" w:space="0" w:color="auto"/>
            <w:bottom w:val="none" w:sz="0" w:space="0" w:color="auto"/>
            <w:right w:val="none" w:sz="0" w:space="0" w:color="auto"/>
          </w:divBdr>
        </w:div>
        <w:div w:id="1556038333">
          <w:marLeft w:val="0"/>
          <w:marRight w:val="0"/>
          <w:marTop w:val="0"/>
          <w:marBottom w:val="0"/>
          <w:divBdr>
            <w:top w:val="none" w:sz="0" w:space="0" w:color="auto"/>
            <w:left w:val="none" w:sz="0" w:space="0" w:color="auto"/>
            <w:bottom w:val="none" w:sz="0" w:space="0" w:color="auto"/>
            <w:right w:val="none" w:sz="0" w:space="0" w:color="auto"/>
          </w:divBdr>
        </w:div>
        <w:div w:id="1556038334">
          <w:marLeft w:val="0"/>
          <w:marRight w:val="0"/>
          <w:marTop w:val="0"/>
          <w:marBottom w:val="0"/>
          <w:divBdr>
            <w:top w:val="none" w:sz="0" w:space="0" w:color="auto"/>
            <w:left w:val="none" w:sz="0" w:space="0" w:color="auto"/>
            <w:bottom w:val="none" w:sz="0" w:space="0" w:color="auto"/>
            <w:right w:val="none" w:sz="0" w:space="0" w:color="auto"/>
          </w:divBdr>
        </w:div>
        <w:div w:id="1556038335">
          <w:marLeft w:val="0"/>
          <w:marRight w:val="0"/>
          <w:marTop w:val="0"/>
          <w:marBottom w:val="0"/>
          <w:divBdr>
            <w:top w:val="none" w:sz="0" w:space="0" w:color="auto"/>
            <w:left w:val="none" w:sz="0" w:space="0" w:color="auto"/>
            <w:bottom w:val="none" w:sz="0" w:space="0" w:color="auto"/>
            <w:right w:val="none" w:sz="0" w:space="0" w:color="auto"/>
          </w:divBdr>
        </w:div>
        <w:div w:id="1556038336">
          <w:marLeft w:val="0"/>
          <w:marRight w:val="0"/>
          <w:marTop w:val="0"/>
          <w:marBottom w:val="0"/>
          <w:divBdr>
            <w:top w:val="none" w:sz="0" w:space="0" w:color="auto"/>
            <w:left w:val="none" w:sz="0" w:space="0" w:color="auto"/>
            <w:bottom w:val="none" w:sz="0" w:space="0" w:color="auto"/>
            <w:right w:val="none" w:sz="0" w:space="0" w:color="auto"/>
          </w:divBdr>
        </w:div>
        <w:div w:id="1556038337">
          <w:marLeft w:val="0"/>
          <w:marRight w:val="0"/>
          <w:marTop w:val="0"/>
          <w:marBottom w:val="0"/>
          <w:divBdr>
            <w:top w:val="none" w:sz="0" w:space="0" w:color="auto"/>
            <w:left w:val="none" w:sz="0" w:space="0" w:color="auto"/>
            <w:bottom w:val="none" w:sz="0" w:space="0" w:color="auto"/>
            <w:right w:val="none" w:sz="0" w:space="0" w:color="auto"/>
          </w:divBdr>
        </w:div>
        <w:div w:id="1556038338">
          <w:marLeft w:val="0"/>
          <w:marRight w:val="0"/>
          <w:marTop w:val="0"/>
          <w:marBottom w:val="0"/>
          <w:divBdr>
            <w:top w:val="none" w:sz="0" w:space="0" w:color="auto"/>
            <w:left w:val="none" w:sz="0" w:space="0" w:color="auto"/>
            <w:bottom w:val="none" w:sz="0" w:space="0" w:color="auto"/>
            <w:right w:val="none" w:sz="0" w:space="0" w:color="auto"/>
          </w:divBdr>
        </w:div>
        <w:div w:id="1556038339">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1556038342">
          <w:marLeft w:val="0"/>
          <w:marRight w:val="0"/>
          <w:marTop w:val="0"/>
          <w:marBottom w:val="0"/>
          <w:divBdr>
            <w:top w:val="none" w:sz="0" w:space="0" w:color="auto"/>
            <w:left w:val="none" w:sz="0" w:space="0" w:color="auto"/>
            <w:bottom w:val="none" w:sz="0" w:space="0" w:color="auto"/>
            <w:right w:val="none" w:sz="0" w:space="0" w:color="auto"/>
          </w:divBdr>
        </w:div>
        <w:div w:id="1556038343">
          <w:marLeft w:val="0"/>
          <w:marRight w:val="0"/>
          <w:marTop w:val="0"/>
          <w:marBottom w:val="0"/>
          <w:divBdr>
            <w:top w:val="none" w:sz="0" w:space="0" w:color="auto"/>
            <w:left w:val="none" w:sz="0" w:space="0" w:color="auto"/>
            <w:bottom w:val="none" w:sz="0" w:space="0" w:color="auto"/>
            <w:right w:val="none" w:sz="0" w:space="0" w:color="auto"/>
          </w:divBdr>
        </w:div>
        <w:div w:id="1556038344">
          <w:marLeft w:val="0"/>
          <w:marRight w:val="0"/>
          <w:marTop w:val="0"/>
          <w:marBottom w:val="0"/>
          <w:divBdr>
            <w:top w:val="none" w:sz="0" w:space="0" w:color="auto"/>
            <w:left w:val="none" w:sz="0" w:space="0" w:color="auto"/>
            <w:bottom w:val="none" w:sz="0" w:space="0" w:color="auto"/>
            <w:right w:val="none" w:sz="0" w:space="0" w:color="auto"/>
          </w:divBdr>
        </w:div>
        <w:div w:id="1556038345">
          <w:marLeft w:val="0"/>
          <w:marRight w:val="0"/>
          <w:marTop w:val="0"/>
          <w:marBottom w:val="0"/>
          <w:divBdr>
            <w:top w:val="none" w:sz="0" w:space="0" w:color="auto"/>
            <w:left w:val="none" w:sz="0" w:space="0" w:color="auto"/>
            <w:bottom w:val="none" w:sz="0" w:space="0" w:color="auto"/>
            <w:right w:val="none" w:sz="0" w:space="0" w:color="auto"/>
          </w:divBdr>
        </w:div>
        <w:div w:id="1556038346">
          <w:marLeft w:val="0"/>
          <w:marRight w:val="0"/>
          <w:marTop w:val="0"/>
          <w:marBottom w:val="0"/>
          <w:divBdr>
            <w:top w:val="none" w:sz="0" w:space="0" w:color="auto"/>
            <w:left w:val="none" w:sz="0" w:space="0" w:color="auto"/>
            <w:bottom w:val="none" w:sz="0" w:space="0" w:color="auto"/>
            <w:right w:val="none" w:sz="0" w:space="0" w:color="auto"/>
          </w:divBdr>
        </w:div>
        <w:div w:id="1556038347">
          <w:marLeft w:val="0"/>
          <w:marRight w:val="0"/>
          <w:marTop w:val="0"/>
          <w:marBottom w:val="0"/>
          <w:divBdr>
            <w:top w:val="none" w:sz="0" w:space="0" w:color="auto"/>
            <w:left w:val="none" w:sz="0" w:space="0" w:color="auto"/>
            <w:bottom w:val="none" w:sz="0" w:space="0" w:color="auto"/>
            <w:right w:val="none" w:sz="0" w:space="0" w:color="auto"/>
          </w:divBdr>
        </w:div>
        <w:div w:id="1556038348">
          <w:marLeft w:val="0"/>
          <w:marRight w:val="0"/>
          <w:marTop w:val="0"/>
          <w:marBottom w:val="0"/>
          <w:divBdr>
            <w:top w:val="none" w:sz="0" w:space="0" w:color="auto"/>
            <w:left w:val="none" w:sz="0" w:space="0" w:color="auto"/>
            <w:bottom w:val="none" w:sz="0" w:space="0" w:color="auto"/>
            <w:right w:val="none" w:sz="0" w:space="0" w:color="auto"/>
          </w:divBdr>
        </w:div>
        <w:div w:id="1556038349">
          <w:marLeft w:val="0"/>
          <w:marRight w:val="0"/>
          <w:marTop w:val="0"/>
          <w:marBottom w:val="0"/>
          <w:divBdr>
            <w:top w:val="none" w:sz="0" w:space="0" w:color="auto"/>
            <w:left w:val="none" w:sz="0" w:space="0" w:color="auto"/>
            <w:bottom w:val="none" w:sz="0" w:space="0" w:color="auto"/>
            <w:right w:val="none" w:sz="0" w:space="0" w:color="auto"/>
          </w:divBdr>
        </w:div>
        <w:div w:id="1556038350">
          <w:marLeft w:val="0"/>
          <w:marRight w:val="0"/>
          <w:marTop w:val="0"/>
          <w:marBottom w:val="0"/>
          <w:divBdr>
            <w:top w:val="none" w:sz="0" w:space="0" w:color="auto"/>
            <w:left w:val="none" w:sz="0" w:space="0" w:color="auto"/>
            <w:bottom w:val="none" w:sz="0" w:space="0" w:color="auto"/>
            <w:right w:val="none" w:sz="0" w:space="0" w:color="auto"/>
          </w:divBdr>
        </w:div>
        <w:div w:id="1556038351">
          <w:marLeft w:val="0"/>
          <w:marRight w:val="0"/>
          <w:marTop w:val="0"/>
          <w:marBottom w:val="0"/>
          <w:divBdr>
            <w:top w:val="none" w:sz="0" w:space="0" w:color="auto"/>
            <w:left w:val="none" w:sz="0" w:space="0" w:color="auto"/>
            <w:bottom w:val="none" w:sz="0" w:space="0" w:color="auto"/>
            <w:right w:val="none" w:sz="0" w:space="0" w:color="auto"/>
          </w:divBdr>
        </w:div>
        <w:div w:id="1556038352">
          <w:marLeft w:val="0"/>
          <w:marRight w:val="0"/>
          <w:marTop w:val="0"/>
          <w:marBottom w:val="0"/>
          <w:divBdr>
            <w:top w:val="none" w:sz="0" w:space="0" w:color="auto"/>
            <w:left w:val="none" w:sz="0" w:space="0" w:color="auto"/>
            <w:bottom w:val="none" w:sz="0" w:space="0" w:color="auto"/>
            <w:right w:val="none" w:sz="0" w:space="0" w:color="auto"/>
          </w:divBdr>
        </w:div>
        <w:div w:id="1556038353">
          <w:marLeft w:val="0"/>
          <w:marRight w:val="0"/>
          <w:marTop w:val="0"/>
          <w:marBottom w:val="0"/>
          <w:divBdr>
            <w:top w:val="none" w:sz="0" w:space="0" w:color="auto"/>
            <w:left w:val="none" w:sz="0" w:space="0" w:color="auto"/>
            <w:bottom w:val="none" w:sz="0" w:space="0" w:color="auto"/>
            <w:right w:val="none" w:sz="0" w:space="0" w:color="auto"/>
          </w:divBdr>
        </w:div>
        <w:div w:id="1556038354">
          <w:marLeft w:val="0"/>
          <w:marRight w:val="0"/>
          <w:marTop w:val="0"/>
          <w:marBottom w:val="0"/>
          <w:divBdr>
            <w:top w:val="none" w:sz="0" w:space="0" w:color="auto"/>
            <w:left w:val="none" w:sz="0" w:space="0" w:color="auto"/>
            <w:bottom w:val="none" w:sz="0" w:space="0" w:color="auto"/>
            <w:right w:val="none" w:sz="0" w:space="0" w:color="auto"/>
          </w:divBdr>
        </w:div>
        <w:div w:id="1556038355">
          <w:marLeft w:val="0"/>
          <w:marRight w:val="0"/>
          <w:marTop w:val="0"/>
          <w:marBottom w:val="0"/>
          <w:divBdr>
            <w:top w:val="none" w:sz="0" w:space="0" w:color="auto"/>
            <w:left w:val="none" w:sz="0" w:space="0" w:color="auto"/>
            <w:bottom w:val="none" w:sz="0" w:space="0" w:color="auto"/>
            <w:right w:val="none" w:sz="0" w:space="0" w:color="auto"/>
          </w:divBdr>
        </w:div>
        <w:div w:id="1556038356">
          <w:marLeft w:val="0"/>
          <w:marRight w:val="0"/>
          <w:marTop w:val="0"/>
          <w:marBottom w:val="0"/>
          <w:divBdr>
            <w:top w:val="none" w:sz="0" w:space="0" w:color="auto"/>
            <w:left w:val="none" w:sz="0" w:space="0" w:color="auto"/>
            <w:bottom w:val="none" w:sz="0" w:space="0" w:color="auto"/>
            <w:right w:val="none" w:sz="0" w:space="0" w:color="auto"/>
          </w:divBdr>
        </w:div>
        <w:div w:id="1556038357">
          <w:marLeft w:val="0"/>
          <w:marRight w:val="0"/>
          <w:marTop w:val="0"/>
          <w:marBottom w:val="0"/>
          <w:divBdr>
            <w:top w:val="none" w:sz="0" w:space="0" w:color="auto"/>
            <w:left w:val="none" w:sz="0" w:space="0" w:color="auto"/>
            <w:bottom w:val="none" w:sz="0" w:space="0" w:color="auto"/>
            <w:right w:val="none" w:sz="0" w:space="0" w:color="auto"/>
          </w:divBdr>
        </w:div>
        <w:div w:id="1556038358">
          <w:marLeft w:val="0"/>
          <w:marRight w:val="0"/>
          <w:marTop w:val="0"/>
          <w:marBottom w:val="0"/>
          <w:divBdr>
            <w:top w:val="none" w:sz="0" w:space="0" w:color="auto"/>
            <w:left w:val="none" w:sz="0" w:space="0" w:color="auto"/>
            <w:bottom w:val="none" w:sz="0" w:space="0" w:color="auto"/>
            <w:right w:val="none" w:sz="0" w:space="0" w:color="auto"/>
          </w:divBdr>
        </w:div>
        <w:div w:id="1556038359">
          <w:marLeft w:val="0"/>
          <w:marRight w:val="0"/>
          <w:marTop w:val="0"/>
          <w:marBottom w:val="0"/>
          <w:divBdr>
            <w:top w:val="none" w:sz="0" w:space="0" w:color="auto"/>
            <w:left w:val="none" w:sz="0" w:space="0" w:color="auto"/>
            <w:bottom w:val="none" w:sz="0" w:space="0" w:color="auto"/>
            <w:right w:val="none" w:sz="0" w:space="0" w:color="auto"/>
          </w:divBdr>
        </w:div>
        <w:div w:id="1556038360">
          <w:marLeft w:val="0"/>
          <w:marRight w:val="0"/>
          <w:marTop w:val="0"/>
          <w:marBottom w:val="0"/>
          <w:divBdr>
            <w:top w:val="none" w:sz="0" w:space="0" w:color="auto"/>
            <w:left w:val="none" w:sz="0" w:space="0" w:color="auto"/>
            <w:bottom w:val="none" w:sz="0" w:space="0" w:color="auto"/>
            <w:right w:val="none" w:sz="0" w:space="0" w:color="auto"/>
          </w:divBdr>
        </w:div>
        <w:div w:id="1556038361">
          <w:marLeft w:val="0"/>
          <w:marRight w:val="0"/>
          <w:marTop w:val="0"/>
          <w:marBottom w:val="0"/>
          <w:divBdr>
            <w:top w:val="none" w:sz="0" w:space="0" w:color="auto"/>
            <w:left w:val="none" w:sz="0" w:space="0" w:color="auto"/>
            <w:bottom w:val="none" w:sz="0" w:space="0" w:color="auto"/>
            <w:right w:val="none" w:sz="0" w:space="0" w:color="auto"/>
          </w:divBdr>
        </w:div>
        <w:div w:id="1556038362">
          <w:marLeft w:val="0"/>
          <w:marRight w:val="0"/>
          <w:marTop w:val="0"/>
          <w:marBottom w:val="0"/>
          <w:divBdr>
            <w:top w:val="none" w:sz="0" w:space="0" w:color="auto"/>
            <w:left w:val="none" w:sz="0" w:space="0" w:color="auto"/>
            <w:bottom w:val="none" w:sz="0" w:space="0" w:color="auto"/>
            <w:right w:val="none" w:sz="0" w:space="0" w:color="auto"/>
          </w:divBdr>
        </w:div>
        <w:div w:id="1556038363">
          <w:marLeft w:val="0"/>
          <w:marRight w:val="0"/>
          <w:marTop w:val="0"/>
          <w:marBottom w:val="0"/>
          <w:divBdr>
            <w:top w:val="none" w:sz="0" w:space="0" w:color="auto"/>
            <w:left w:val="none" w:sz="0" w:space="0" w:color="auto"/>
            <w:bottom w:val="none" w:sz="0" w:space="0" w:color="auto"/>
            <w:right w:val="none" w:sz="0" w:space="0" w:color="auto"/>
          </w:divBdr>
        </w:div>
        <w:div w:id="1556038364">
          <w:marLeft w:val="0"/>
          <w:marRight w:val="0"/>
          <w:marTop w:val="0"/>
          <w:marBottom w:val="0"/>
          <w:divBdr>
            <w:top w:val="none" w:sz="0" w:space="0" w:color="auto"/>
            <w:left w:val="none" w:sz="0" w:space="0" w:color="auto"/>
            <w:bottom w:val="none" w:sz="0" w:space="0" w:color="auto"/>
            <w:right w:val="none" w:sz="0" w:space="0" w:color="auto"/>
          </w:divBdr>
        </w:div>
        <w:div w:id="1556038365">
          <w:marLeft w:val="0"/>
          <w:marRight w:val="0"/>
          <w:marTop w:val="0"/>
          <w:marBottom w:val="0"/>
          <w:divBdr>
            <w:top w:val="none" w:sz="0" w:space="0" w:color="auto"/>
            <w:left w:val="none" w:sz="0" w:space="0" w:color="auto"/>
            <w:bottom w:val="none" w:sz="0" w:space="0" w:color="auto"/>
            <w:right w:val="none" w:sz="0" w:space="0" w:color="auto"/>
          </w:divBdr>
        </w:div>
        <w:div w:id="155603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992</Words>
  <Characters>3577</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luuvietcuong</dc:creator>
  <cp:lastModifiedBy>huecd.com</cp:lastModifiedBy>
  <cp:revision>4</cp:revision>
  <dcterms:created xsi:type="dcterms:W3CDTF">2016-09-27T08:57:00Z</dcterms:created>
  <dcterms:modified xsi:type="dcterms:W3CDTF">2016-09-27T09:07:00Z</dcterms:modified>
</cp:coreProperties>
</file>