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BD" w:rsidRPr="00113082" w:rsidRDefault="009154BD" w:rsidP="009154BD">
      <w:pPr>
        <w:spacing w:before="0"/>
        <w:jc w:val="center"/>
        <w:rPr>
          <w:rFonts w:ascii="Times New Roman" w:hAnsi="Times New Roman" w:cs="Times New Roman"/>
          <w:b/>
          <w:sz w:val="24"/>
          <w:szCs w:val="24"/>
        </w:rPr>
      </w:pPr>
      <w:r w:rsidRPr="00113082">
        <w:rPr>
          <w:rFonts w:ascii="Times New Roman" w:hAnsi="Times New Roman" w:cs="Times New Roman"/>
          <w:b/>
          <w:sz w:val="24"/>
          <w:szCs w:val="24"/>
        </w:rPr>
        <w:t>Danh mục IV</w:t>
      </w:r>
    </w:p>
    <w:p w:rsidR="009154BD" w:rsidRPr="00113082" w:rsidRDefault="009154BD" w:rsidP="009154BD">
      <w:pPr>
        <w:spacing w:before="0"/>
        <w:jc w:val="center"/>
        <w:rPr>
          <w:rFonts w:ascii="Times New Roman" w:hAnsi="Times New Roman" w:cs="Times New Roman"/>
          <w:b/>
          <w:sz w:val="24"/>
          <w:szCs w:val="24"/>
        </w:rPr>
      </w:pPr>
      <w:r w:rsidRPr="00113082">
        <w:rPr>
          <w:rFonts w:ascii="Times New Roman" w:hAnsi="Times New Roman" w:cs="Times New Roman"/>
          <w:b/>
          <w:sz w:val="24"/>
          <w:szCs w:val="24"/>
        </w:rPr>
        <w:t>VĂN BẢN QUY PHẠM PHÁP LUẬT CẦN ĐÌNH CHỈ VIỆC THI HÀNH, NGƯNG HIỆU LỰC, SỬA ĐỔI, BỔ SUNG, THAY THẾ, BÃI BỎ HOẶC BAN HÀNH MỚI THUỘC LĨNH VỰC QUẢN LÝ NHÀ NƯỚC CỦA BỘ TÀI CHÍNH TRONG KỲ HỆ THỐNG HÓA 2019 – 2023</w:t>
      </w:r>
    </w:p>
    <w:p w:rsidR="009154BD" w:rsidRPr="00113082" w:rsidRDefault="00E90015" w:rsidP="009154BD">
      <w:pPr>
        <w:spacing w:before="0"/>
        <w:jc w:val="center"/>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lang w:val="en-US"/>
        </w:rPr>
        <w:t>K</w:t>
      </w:r>
      <w:r w:rsidR="009154BD" w:rsidRPr="00113082">
        <w:rPr>
          <w:rFonts w:ascii="Times New Roman" w:hAnsi="Times New Roman" w:cs="Times New Roman"/>
          <w:i/>
          <w:sz w:val="24"/>
          <w:szCs w:val="24"/>
        </w:rPr>
        <w:t xml:space="preserve">èm theo Quyết định số </w:t>
      </w:r>
      <w:r w:rsidR="001F2CCE">
        <w:rPr>
          <w:rFonts w:ascii="Times New Roman" w:hAnsi="Times New Roman" w:cs="Times New Roman"/>
          <w:i/>
          <w:sz w:val="24"/>
          <w:szCs w:val="24"/>
          <w:lang w:val="en-US"/>
        </w:rPr>
        <w:t>1092</w:t>
      </w:r>
      <w:r w:rsidR="009154BD" w:rsidRPr="00113082">
        <w:rPr>
          <w:rFonts w:ascii="Times New Roman" w:hAnsi="Times New Roman" w:cs="Times New Roman"/>
          <w:i/>
          <w:sz w:val="24"/>
          <w:szCs w:val="24"/>
        </w:rPr>
        <w:t xml:space="preserve">/QĐ-BTC ngày </w:t>
      </w:r>
      <w:r w:rsidR="001F2CCE">
        <w:rPr>
          <w:rFonts w:ascii="Times New Roman" w:hAnsi="Times New Roman" w:cs="Times New Roman"/>
          <w:i/>
          <w:sz w:val="24"/>
          <w:szCs w:val="24"/>
          <w:lang w:val="en-US"/>
        </w:rPr>
        <w:t>13</w:t>
      </w:r>
      <w:r w:rsidR="009154BD" w:rsidRPr="00113082">
        <w:rPr>
          <w:rFonts w:ascii="Times New Roman" w:hAnsi="Times New Roman" w:cs="Times New Roman"/>
          <w:i/>
          <w:sz w:val="24"/>
          <w:szCs w:val="24"/>
        </w:rPr>
        <w:t xml:space="preserve"> tháng </w:t>
      </w:r>
      <w:r w:rsidR="001F2CCE">
        <w:rPr>
          <w:rFonts w:ascii="Times New Roman" w:hAnsi="Times New Roman" w:cs="Times New Roman"/>
          <w:i/>
          <w:sz w:val="24"/>
          <w:szCs w:val="24"/>
          <w:lang w:val="en-US"/>
        </w:rPr>
        <w:t>5</w:t>
      </w:r>
      <w:r w:rsidR="009154BD" w:rsidRPr="00113082">
        <w:rPr>
          <w:rFonts w:ascii="Times New Roman" w:hAnsi="Times New Roman" w:cs="Times New Roman"/>
          <w:i/>
          <w:sz w:val="24"/>
          <w:szCs w:val="24"/>
        </w:rPr>
        <w:t xml:space="preserve"> năm 2024 của Bộ Tài chính)</w:t>
      </w:r>
    </w:p>
    <w:p w:rsidR="009154BD" w:rsidRPr="00A73663" w:rsidRDefault="009154BD" w:rsidP="009154BD">
      <w:pPr>
        <w:rPr>
          <w:rFonts w:cs="Times New Roman"/>
          <w:sz w:val="24"/>
          <w:szCs w:val="24"/>
        </w:rPr>
      </w:pPr>
    </w:p>
    <w:tbl>
      <w:tblPr>
        <w:tblStyle w:val="TableGrid"/>
        <w:tblW w:w="15934" w:type="dxa"/>
        <w:tblLayout w:type="fixed"/>
        <w:tblCellMar>
          <w:left w:w="57" w:type="dxa"/>
          <w:right w:w="57" w:type="dxa"/>
        </w:tblCellMar>
        <w:tblLook w:val="04A0"/>
      </w:tblPr>
      <w:tblGrid>
        <w:gridCol w:w="624"/>
        <w:gridCol w:w="851"/>
        <w:gridCol w:w="851"/>
        <w:gridCol w:w="2409"/>
        <w:gridCol w:w="3686"/>
        <w:gridCol w:w="1417"/>
        <w:gridCol w:w="3686"/>
        <w:gridCol w:w="1418"/>
        <w:gridCol w:w="992"/>
      </w:tblGrid>
      <w:tr w:rsidR="009154BD" w:rsidRPr="00D97519" w:rsidTr="00A9798D">
        <w:trPr>
          <w:tblHeader/>
        </w:trPr>
        <w:tc>
          <w:tcPr>
            <w:tcW w:w="1475" w:type="dxa"/>
            <w:gridSpan w:val="2"/>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STT</w:t>
            </w:r>
          </w:p>
        </w:tc>
        <w:tc>
          <w:tcPr>
            <w:tcW w:w="851"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Tên loại văn bản</w:t>
            </w:r>
          </w:p>
        </w:tc>
        <w:tc>
          <w:tcPr>
            <w:tcW w:w="2409"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Số ký hiệu; ngày, tháng, năm ban hành</w:t>
            </w:r>
          </w:p>
        </w:tc>
        <w:tc>
          <w:tcPr>
            <w:tcW w:w="3686"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sz w:val="22"/>
                <w:lang w:val="vi-VN"/>
              </w:rPr>
              <w:t>Tên gọi văn bản</w:t>
            </w:r>
          </w:p>
        </w:tc>
        <w:tc>
          <w:tcPr>
            <w:tcW w:w="1417" w:type="dxa"/>
            <w:vMerge w:val="restart"/>
          </w:tcPr>
          <w:p w:rsidR="009154BD" w:rsidRPr="00A708C4" w:rsidRDefault="009154BD" w:rsidP="00B74BEE">
            <w:pPr>
              <w:spacing w:after="120"/>
              <w:jc w:val="center"/>
              <w:rPr>
                <w:rFonts w:cs="Times New Roman"/>
                <w:b/>
                <w:sz w:val="22"/>
                <w:lang w:val="vi-VN"/>
              </w:rPr>
            </w:pPr>
            <w:r w:rsidRPr="00A708C4">
              <w:rPr>
                <w:rFonts w:cs="Times New Roman"/>
                <w:b/>
                <w:sz w:val="22"/>
                <w:lang w:val="vi-VN"/>
              </w:rPr>
              <w:t xml:space="preserve">Kiến nghị </w:t>
            </w:r>
            <w:r w:rsidRPr="00D97519">
              <w:rPr>
                <w:rFonts w:cs="Times New Roman"/>
                <w:b/>
                <w:bCs/>
                <w:sz w:val="22"/>
                <w:lang w:val="vi-VN"/>
              </w:rPr>
              <w:t>(đình chỉ thi hành, ngưng hiệu lực, sửa đ</w:t>
            </w:r>
            <w:r w:rsidRPr="00A708C4">
              <w:rPr>
                <w:rFonts w:cs="Times New Roman"/>
                <w:b/>
                <w:bCs/>
                <w:sz w:val="22"/>
                <w:lang w:val="vi-VN"/>
              </w:rPr>
              <w:t>ổ</w:t>
            </w:r>
            <w:r w:rsidRPr="00D97519">
              <w:rPr>
                <w:rFonts w:cs="Times New Roman"/>
                <w:b/>
                <w:bCs/>
                <w:sz w:val="22"/>
                <w:lang w:val="vi-VN"/>
              </w:rPr>
              <w:t>i, b</w:t>
            </w:r>
            <w:r w:rsidRPr="00A708C4">
              <w:rPr>
                <w:rFonts w:cs="Times New Roman"/>
                <w:b/>
                <w:bCs/>
                <w:sz w:val="22"/>
                <w:lang w:val="vi-VN"/>
              </w:rPr>
              <w:t>ổ</w:t>
            </w:r>
            <w:r w:rsidRPr="00D97519">
              <w:rPr>
                <w:rFonts w:cs="Times New Roman"/>
                <w:b/>
                <w:bCs/>
                <w:sz w:val="22"/>
                <w:lang w:val="vi-VN"/>
              </w:rPr>
              <w:t> sung, thay thế, bãi b</w:t>
            </w:r>
            <w:r w:rsidRPr="00A708C4">
              <w:rPr>
                <w:rFonts w:cs="Times New Roman"/>
                <w:b/>
                <w:bCs/>
                <w:sz w:val="22"/>
                <w:lang w:val="vi-VN"/>
              </w:rPr>
              <w:t>ỏ</w:t>
            </w:r>
            <w:r w:rsidRPr="00D97519">
              <w:rPr>
                <w:rFonts w:cs="Times New Roman"/>
                <w:b/>
                <w:bCs/>
                <w:sz w:val="22"/>
                <w:lang w:val="vi-VN"/>
              </w:rPr>
              <w:t> hoặc ban hành m</w:t>
            </w:r>
            <w:r w:rsidRPr="00A708C4">
              <w:rPr>
                <w:rFonts w:cs="Times New Roman"/>
                <w:b/>
                <w:bCs/>
                <w:sz w:val="22"/>
                <w:lang w:val="vi-VN"/>
              </w:rPr>
              <w:t>ớ</w:t>
            </w:r>
            <w:r w:rsidRPr="00D97519">
              <w:rPr>
                <w:rFonts w:cs="Times New Roman"/>
                <w:b/>
                <w:bCs/>
                <w:sz w:val="22"/>
                <w:lang w:val="vi-VN"/>
              </w:rPr>
              <w:t>i)</w:t>
            </w:r>
          </w:p>
        </w:tc>
        <w:tc>
          <w:tcPr>
            <w:tcW w:w="3686"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bCs/>
                <w:sz w:val="22"/>
                <w:lang w:val="vi-VN"/>
              </w:rPr>
              <w:t>Nội dung kiến nghị/ Lý do kiến nghị</w:t>
            </w:r>
          </w:p>
        </w:tc>
        <w:tc>
          <w:tcPr>
            <w:tcW w:w="1418" w:type="dxa"/>
            <w:vMerge w:val="restart"/>
            <w:vAlign w:val="center"/>
          </w:tcPr>
          <w:p w:rsidR="009154BD" w:rsidRPr="00D97519" w:rsidRDefault="009154BD" w:rsidP="00B74BEE">
            <w:pPr>
              <w:spacing w:before="120" w:after="120"/>
              <w:jc w:val="center"/>
              <w:rPr>
                <w:rFonts w:cs="Times New Roman"/>
                <w:b/>
                <w:sz w:val="22"/>
                <w:lang w:val="vi-VN"/>
              </w:rPr>
            </w:pPr>
            <w:r w:rsidRPr="00D97519">
              <w:rPr>
                <w:rFonts w:cs="Times New Roman"/>
                <w:b/>
                <w:bCs/>
                <w:sz w:val="22"/>
                <w:lang w:val="vi-VN"/>
              </w:rPr>
              <w:t>Cơ quan/ đơn vị chủ trì soạn thảo</w:t>
            </w:r>
          </w:p>
        </w:tc>
        <w:tc>
          <w:tcPr>
            <w:tcW w:w="992" w:type="dxa"/>
            <w:vMerge w:val="restart"/>
          </w:tcPr>
          <w:p w:rsidR="009154BD" w:rsidRPr="00D97519" w:rsidRDefault="009154BD" w:rsidP="00B74BEE">
            <w:pPr>
              <w:spacing w:after="120"/>
              <w:jc w:val="center"/>
              <w:rPr>
                <w:rFonts w:cs="Times New Roman"/>
                <w:b/>
                <w:bCs/>
                <w:sz w:val="22"/>
                <w:lang w:val="vi-VN"/>
              </w:rPr>
            </w:pPr>
            <w:r w:rsidRPr="00D97519">
              <w:rPr>
                <w:rFonts w:cs="Times New Roman"/>
                <w:b/>
                <w:bCs/>
                <w:sz w:val="22"/>
                <w:lang w:val="vi-VN"/>
              </w:rPr>
              <w:t>Thời hạn xử lý hoặc kiến nghị xử lý/tình hình xây dựng</w:t>
            </w:r>
          </w:p>
        </w:tc>
      </w:tr>
      <w:tr w:rsidR="009154BD" w:rsidRPr="00D97519" w:rsidTr="00A9798D">
        <w:trPr>
          <w:tblHeader/>
        </w:trPr>
        <w:tc>
          <w:tcPr>
            <w:tcW w:w="624" w:type="dxa"/>
          </w:tcPr>
          <w:p w:rsidR="009154BD" w:rsidRPr="00D97519" w:rsidRDefault="009154BD" w:rsidP="00B74BEE">
            <w:pPr>
              <w:spacing w:before="120" w:after="120"/>
              <w:jc w:val="center"/>
              <w:rPr>
                <w:rFonts w:cs="Times New Roman"/>
                <w:b/>
                <w:sz w:val="20"/>
                <w:szCs w:val="20"/>
                <w:lang w:val="vi-VN"/>
              </w:rPr>
            </w:pPr>
            <w:r w:rsidRPr="00D97519">
              <w:rPr>
                <w:rFonts w:cs="Times New Roman"/>
                <w:b/>
                <w:sz w:val="20"/>
                <w:szCs w:val="20"/>
                <w:lang w:val="vi-VN"/>
              </w:rPr>
              <w:t>Tổng số</w:t>
            </w:r>
          </w:p>
        </w:tc>
        <w:tc>
          <w:tcPr>
            <w:tcW w:w="851" w:type="dxa"/>
          </w:tcPr>
          <w:p w:rsidR="009154BD" w:rsidRPr="00D97519" w:rsidRDefault="009154BD" w:rsidP="00B74BEE">
            <w:pPr>
              <w:spacing w:before="120" w:after="120"/>
              <w:jc w:val="center"/>
              <w:rPr>
                <w:rFonts w:cs="Times New Roman"/>
                <w:b/>
                <w:sz w:val="20"/>
                <w:szCs w:val="20"/>
                <w:lang w:val="vi-VN"/>
              </w:rPr>
            </w:pPr>
            <w:r w:rsidRPr="00D97519">
              <w:rPr>
                <w:rFonts w:cs="Times New Roman"/>
                <w:b/>
                <w:sz w:val="20"/>
                <w:szCs w:val="20"/>
                <w:lang w:val="vi-VN"/>
              </w:rPr>
              <w:t>Lĩnh vực</w:t>
            </w:r>
          </w:p>
        </w:tc>
        <w:tc>
          <w:tcPr>
            <w:tcW w:w="851" w:type="dxa"/>
            <w:vMerge/>
          </w:tcPr>
          <w:p w:rsidR="009154BD" w:rsidRPr="00D97519" w:rsidRDefault="009154BD" w:rsidP="00B74BEE">
            <w:pPr>
              <w:spacing w:before="120" w:after="120"/>
              <w:rPr>
                <w:rFonts w:cs="Times New Roman"/>
                <w:b/>
                <w:sz w:val="22"/>
                <w:lang w:val="vi-VN"/>
              </w:rPr>
            </w:pPr>
          </w:p>
        </w:tc>
        <w:tc>
          <w:tcPr>
            <w:tcW w:w="2409" w:type="dxa"/>
            <w:vMerge/>
          </w:tcPr>
          <w:p w:rsidR="009154BD" w:rsidRPr="00D97519" w:rsidRDefault="009154BD" w:rsidP="00B74BEE">
            <w:pPr>
              <w:spacing w:before="120" w:after="120"/>
              <w:jc w:val="center"/>
              <w:rPr>
                <w:rFonts w:cs="Times New Roman"/>
                <w:b/>
                <w:sz w:val="22"/>
                <w:lang w:val="vi-VN"/>
              </w:rPr>
            </w:pPr>
          </w:p>
        </w:tc>
        <w:tc>
          <w:tcPr>
            <w:tcW w:w="3686" w:type="dxa"/>
            <w:vMerge/>
          </w:tcPr>
          <w:p w:rsidR="009154BD" w:rsidRPr="00D97519" w:rsidRDefault="009154BD" w:rsidP="00B74BEE">
            <w:pPr>
              <w:spacing w:before="120" w:after="120"/>
              <w:jc w:val="center"/>
              <w:rPr>
                <w:rFonts w:cs="Times New Roman"/>
                <w:b/>
                <w:sz w:val="22"/>
                <w:lang w:val="vi-VN"/>
              </w:rPr>
            </w:pPr>
          </w:p>
        </w:tc>
        <w:tc>
          <w:tcPr>
            <w:tcW w:w="1417" w:type="dxa"/>
            <w:vMerge/>
          </w:tcPr>
          <w:p w:rsidR="009154BD" w:rsidRPr="00D97519" w:rsidRDefault="009154BD" w:rsidP="00B74BEE">
            <w:pPr>
              <w:spacing w:after="120"/>
              <w:jc w:val="center"/>
              <w:rPr>
                <w:rFonts w:cs="Times New Roman"/>
                <w:b/>
                <w:sz w:val="22"/>
                <w:lang w:val="vi-VN"/>
              </w:rPr>
            </w:pPr>
          </w:p>
        </w:tc>
        <w:tc>
          <w:tcPr>
            <w:tcW w:w="3686" w:type="dxa"/>
            <w:vMerge/>
          </w:tcPr>
          <w:p w:rsidR="009154BD" w:rsidRPr="00D97519" w:rsidRDefault="009154BD" w:rsidP="00B74BEE">
            <w:pPr>
              <w:spacing w:before="120" w:after="120"/>
              <w:jc w:val="center"/>
              <w:rPr>
                <w:rFonts w:cs="Times New Roman"/>
                <w:b/>
                <w:sz w:val="22"/>
                <w:lang w:val="vi-VN"/>
              </w:rPr>
            </w:pPr>
          </w:p>
        </w:tc>
        <w:tc>
          <w:tcPr>
            <w:tcW w:w="1418" w:type="dxa"/>
            <w:vMerge/>
          </w:tcPr>
          <w:p w:rsidR="009154BD" w:rsidRPr="00D97519" w:rsidRDefault="009154BD" w:rsidP="00B74BEE">
            <w:pPr>
              <w:spacing w:before="120" w:after="120"/>
              <w:jc w:val="center"/>
              <w:rPr>
                <w:rFonts w:cs="Times New Roman"/>
                <w:b/>
                <w:sz w:val="22"/>
                <w:lang w:val="vi-VN"/>
              </w:rPr>
            </w:pPr>
          </w:p>
        </w:tc>
        <w:tc>
          <w:tcPr>
            <w:tcW w:w="992" w:type="dxa"/>
            <w:vMerge/>
          </w:tcPr>
          <w:p w:rsidR="009154BD" w:rsidRPr="00D97519" w:rsidRDefault="009154BD" w:rsidP="00B74BEE">
            <w:pPr>
              <w:spacing w:after="120"/>
              <w:jc w:val="center"/>
              <w:rPr>
                <w:rFonts w:cs="Times New Roman"/>
                <w:b/>
                <w:sz w:val="22"/>
                <w:lang w:val="vi-VN"/>
              </w:rPr>
            </w:pPr>
          </w:p>
        </w:tc>
      </w:tr>
      <w:tr w:rsidR="009154BD" w:rsidRPr="00A73663" w:rsidTr="00A9798D">
        <w:trPr>
          <w:cantSplit/>
          <w:tblHeader/>
        </w:trPr>
        <w:tc>
          <w:tcPr>
            <w:tcW w:w="624" w:type="dxa"/>
          </w:tcPr>
          <w:p w:rsidR="009154BD" w:rsidRPr="00D97519" w:rsidRDefault="009154BD" w:rsidP="00B74BEE">
            <w:pPr>
              <w:pStyle w:val="ListParagraph"/>
              <w:numPr>
                <w:ilvl w:val="0"/>
                <w:numId w:val="23"/>
              </w:numPr>
              <w:spacing w:before="60" w:after="60"/>
              <w:jc w:val="center"/>
              <w:rPr>
                <w:rFonts w:cs="Times New Roman"/>
                <w:sz w:val="24"/>
                <w:szCs w:val="24"/>
                <w:lang w:val="vi-VN"/>
              </w:rPr>
            </w:pPr>
          </w:p>
        </w:tc>
        <w:tc>
          <w:tcPr>
            <w:tcW w:w="851"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Thuế</w:t>
            </w:r>
          </w:p>
        </w:tc>
        <w:tc>
          <w:tcPr>
            <w:tcW w:w="851"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Thông tư liên tịch</w:t>
            </w:r>
          </w:p>
        </w:tc>
        <w:tc>
          <w:tcPr>
            <w:tcW w:w="2409"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198/2009/TTLT/B</w:t>
            </w:r>
            <w:r w:rsidR="00A9798D">
              <w:rPr>
                <w:rFonts w:cs="Times New Roman"/>
                <w:sz w:val="24"/>
                <w:szCs w:val="24"/>
              </w:rPr>
              <w:t>T</w:t>
            </w:r>
            <w:r w:rsidRPr="00253FA8">
              <w:rPr>
                <w:rFonts w:cs="Times New Roman"/>
                <w:sz w:val="24"/>
                <w:szCs w:val="24"/>
              </w:rPr>
              <w:t>C-BCT-BKH ngày 09/10/2009</w:t>
            </w:r>
          </w:p>
        </w:tc>
        <w:tc>
          <w:tcPr>
            <w:tcW w:w="3686" w:type="dxa"/>
          </w:tcPr>
          <w:p w:rsidR="000338B8" w:rsidRPr="00253FA8" w:rsidRDefault="009154BD" w:rsidP="00B74BEE">
            <w:pPr>
              <w:spacing w:before="60" w:after="60"/>
              <w:jc w:val="both"/>
              <w:rPr>
                <w:rFonts w:cs="Times New Roman"/>
                <w:sz w:val="24"/>
                <w:szCs w:val="24"/>
              </w:rPr>
            </w:pPr>
            <w:r w:rsidRPr="00253FA8">
              <w:rPr>
                <w:rFonts w:cs="Times New Roman"/>
                <w:sz w:val="24"/>
                <w:szCs w:val="24"/>
              </w:rPr>
              <w:t>Thông tư liên tịch số 198/2009/TTLT/BTC-BCT-BKH ngày 09/10/2009 của Bộ Tài chính, Bộ Công Thương và Bộ Kế hoạch và Đầu tư hướng dẫn việc trao đổi, cung cấp thông tin liên quan đến người nộp thuế trong lĩnh vực quản lý nhà nước về thuế, hải quan, đầu tư thương mại và công nghiệp</w:t>
            </w:r>
          </w:p>
        </w:tc>
        <w:tc>
          <w:tcPr>
            <w:tcW w:w="1417" w:type="dxa"/>
          </w:tcPr>
          <w:p w:rsidR="009154BD" w:rsidRPr="00253FA8" w:rsidRDefault="009154BD"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9154BD" w:rsidRPr="00253FA8" w:rsidRDefault="009154BD" w:rsidP="00B74BEE">
            <w:pPr>
              <w:spacing w:before="60" w:after="60"/>
              <w:jc w:val="both"/>
              <w:rPr>
                <w:rFonts w:cs="Times New Roman"/>
                <w:sz w:val="24"/>
                <w:szCs w:val="24"/>
              </w:rPr>
            </w:pPr>
            <w:r w:rsidRPr="00253FA8">
              <w:rPr>
                <w:rFonts w:cs="Times New Roman"/>
                <w:sz w:val="24"/>
                <w:szCs w:val="24"/>
              </w:rPr>
              <w:t>Căn cứ pháp lý đã hết hiệu lực và không còn áp dụng trong thực tiễn</w:t>
            </w:r>
          </w:p>
        </w:tc>
        <w:tc>
          <w:tcPr>
            <w:tcW w:w="1418" w:type="dxa"/>
          </w:tcPr>
          <w:p w:rsidR="009154BD" w:rsidRPr="00253FA8" w:rsidRDefault="009154BD" w:rsidP="00B74BEE">
            <w:pPr>
              <w:spacing w:before="60" w:after="60"/>
              <w:jc w:val="center"/>
              <w:rPr>
                <w:rFonts w:cs="Times New Roman"/>
                <w:sz w:val="24"/>
                <w:szCs w:val="24"/>
              </w:rPr>
            </w:pPr>
            <w:r w:rsidRPr="00253FA8">
              <w:rPr>
                <w:rFonts w:cs="Times New Roman"/>
                <w:sz w:val="24"/>
                <w:szCs w:val="24"/>
              </w:rPr>
              <w:t>BTC/TCT</w:t>
            </w:r>
          </w:p>
        </w:tc>
        <w:tc>
          <w:tcPr>
            <w:tcW w:w="992" w:type="dxa"/>
          </w:tcPr>
          <w:p w:rsidR="009154BD" w:rsidRPr="00A73663" w:rsidRDefault="00862E59" w:rsidP="00B74BEE">
            <w:pPr>
              <w:spacing w:before="60" w:after="60"/>
              <w:jc w:val="center"/>
            </w:pPr>
            <w:r>
              <w:rPr>
                <w:rFonts w:cs="Times New Roman"/>
                <w:sz w:val="24"/>
                <w:szCs w:val="24"/>
              </w:rPr>
              <w:t>Dự kiến n</w:t>
            </w:r>
            <w:r w:rsidR="009154BD" w:rsidRPr="00253FA8">
              <w:rPr>
                <w:rFonts w:cs="Times New Roman"/>
                <w:sz w:val="24"/>
                <w:szCs w:val="24"/>
              </w:rPr>
              <w:t>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235/2009/TTLT-BTC-BGTVT-BTTTT ngày 14/12/2009</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235/2009/TTLT</w:t>
            </w:r>
            <w:r>
              <w:rPr>
                <w:rFonts w:cs="Times New Roman"/>
                <w:sz w:val="24"/>
                <w:szCs w:val="24"/>
              </w:rPr>
              <w:t>-</w:t>
            </w:r>
            <w:r w:rsidRPr="00A73663">
              <w:rPr>
                <w:rFonts w:cs="Times New Roman"/>
                <w:sz w:val="24"/>
                <w:szCs w:val="24"/>
              </w:rPr>
              <w:t>BTC-BGTVT-BTTTT ngày 14/12/2009 của Bộ Tài chính, Bộ Giao thông Vận tải và Bộ Thông tin Truyền thông hướng dẫn việc trao đổi, cung cấp thông tin hải quan, thông tin về người nộp thuế trong lĩnh vực hải quan, thuế, giao thông vận tải, thông tin và truyền thông</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Default="00862E59" w:rsidP="00B74BEE">
            <w:pPr>
              <w:spacing w:before="60" w:after="60"/>
              <w:jc w:val="center"/>
              <w:rPr>
                <w:rFonts w:cs="Times New Roman"/>
                <w:sz w:val="24"/>
                <w:szCs w:val="24"/>
              </w:rPr>
            </w:pPr>
            <w:r w:rsidRPr="00A73663">
              <w:rPr>
                <w:rFonts w:cs="Times New Roman"/>
                <w:sz w:val="24"/>
                <w:szCs w:val="24"/>
              </w:rPr>
              <w:t>BTC/TCT</w:t>
            </w:r>
            <w:r>
              <w:rPr>
                <w:rFonts w:cs="Times New Roman"/>
                <w:sz w:val="24"/>
                <w:szCs w:val="24"/>
              </w:rPr>
              <w:t>/</w:t>
            </w:r>
          </w:p>
          <w:p w:rsidR="00862E59" w:rsidRPr="00A73663" w:rsidRDefault="00862E59" w:rsidP="00B74BEE">
            <w:pPr>
              <w:spacing w:before="60" w:after="60"/>
              <w:jc w:val="center"/>
              <w:rPr>
                <w:rFonts w:cs="Times New Roman"/>
                <w:sz w:val="24"/>
                <w:szCs w:val="24"/>
              </w:rPr>
            </w:pPr>
            <w:r>
              <w:rPr>
                <w:rFonts w:cs="Times New Roman"/>
                <w:sz w:val="24"/>
                <w:szCs w:val="24"/>
              </w:rPr>
              <w:t>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98/2010/TTLT</w:t>
            </w:r>
            <w:r>
              <w:rPr>
                <w:rFonts w:cs="Times New Roman"/>
                <w:sz w:val="24"/>
                <w:szCs w:val="24"/>
              </w:rPr>
              <w:t>-</w:t>
            </w:r>
            <w:r w:rsidRPr="00A73663">
              <w:rPr>
                <w:rFonts w:cs="Times New Roman"/>
                <w:sz w:val="24"/>
                <w:szCs w:val="24"/>
              </w:rPr>
              <w:t>BTC-BNNPTNT-BYT ngày  8/7/2010</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98/2010/TTLT/BTC-BNNPTNT-BYT ngày 08/7/2010 của Bộ Tài chính, Bộ Nông nghiệp và Phát triển nông thôn, Bộ Y tế hướng dẫn thực hiện cung cấp, trao đổi thông tin liên quan đến người nộp thuế, quản lý nhà nước về hải quan, nông nghiệp và y tế</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102/2010/TTLT-BTC-NHNN ngày 14/7/2010</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102/2010/TTLT-BTC-NHNN ngày 14/7/2010 của Bộ Tài chính và Ngân hàng Nhà nước Việt Nam về việc hướng dẫn về việc trao đổi, cung cấp thông tin giữa cơ quan quản lý thuế và các tổ chức tín dụng</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pPr>
            <w:r w:rsidRPr="00A73663">
              <w:rPr>
                <w:rFonts w:eastAsia="Times New Roman"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63/2013/TTLT-BTC-BTNMT ngày 15/5/2013</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số 63/2013/TTLT-BTC-BTNMT ngày 15/5/2013 hướng dẫn thực hiện Nghị định số 25/2013/NĐ-CP ngày 29 tháng 3 năm 2013 của Chính phủ về phí bảo vệ môi trường đối với nước thải</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 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Căn cứ pháp lý đã hết hiệu lực và không còn áp dụng trong thực tiễn</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BTC/QLGSCST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A73663"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D97519" w:rsidRDefault="00862E59" w:rsidP="00B74BEE">
            <w:pPr>
              <w:spacing w:before="60" w:after="60"/>
              <w:jc w:val="center"/>
              <w:rPr>
                <w:rFonts w:cs="Times New Roman"/>
                <w:sz w:val="24"/>
                <w:szCs w:val="24"/>
              </w:rPr>
            </w:pPr>
            <w:r w:rsidRPr="00D97519">
              <w:rPr>
                <w:rFonts w:cs="Times New Roman"/>
                <w:sz w:val="24"/>
                <w:szCs w:val="24"/>
              </w:rPr>
              <w:t>Thuế</w:t>
            </w:r>
          </w:p>
        </w:tc>
        <w:tc>
          <w:tcPr>
            <w:tcW w:w="851" w:type="dxa"/>
          </w:tcPr>
          <w:p w:rsidR="00862E59" w:rsidRPr="00A73663" w:rsidRDefault="00862E59" w:rsidP="00B74BEE">
            <w:pPr>
              <w:spacing w:before="60" w:after="60"/>
              <w:jc w:val="center"/>
            </w:pPr>
            <w:r w:rsidRPr="00A73663">
              <w:rPr>
                <w:rFonts w:eastAsia="Times New Roman" w:cs="Times New Roman"/>
                <w:sz w:val="24"/>
                <w:szCs w:val="24"/>
              </w:rPr>
              <w:t>Thông tư liên tịch</w:t>
            </w:r>
          </w:p>
        </w:tc>
        <w:tc>
          <w:tcPr>
            <w:tcW w:w="2409"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135/2008/TTLT-BTC-BTNMT ngày 31/12/2008</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 xml:space="preserve">Thông tư liên tịch số 135/2008/TTLT-BTC-BTNMT ngày 31/12/2008 của Bộ Tài chính và Bộ Tài nguyên và Môi trường hướng dẫn phương pháp xác định giá trị, phương thức, thủ tục thanh toán tiền sử dụng số liệu, thông tin về kết quả điều tra, thăm dò khoáng sản của Nhà nước </w:t>
            </w:r>
          </w:p>
        </w:tc>
        <w:tc>
          <w:tcPr>
            <w:tcW w:w="1417"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Đề nghị</w:t>
            </w:r>
            <w:r>
              <w:rPr>
                <w:rFonts w:cs="Times New Roman"/>
                <w:sz w:val="24"/>
                <w:szCs w:val="24"/>
              </w:rPr>
              <w:t xml:space="preserve"> </w:t>
            </w:r>
            <w:r w:rsidRPr="00A73663">
              <w:rPr>
                <w:rFonts w:cs="Times New Roman"/>
                <w:sz w:val="24"/>
                <w:szCs w:val="24"/>
              </w:rPr>
              <w:t>bãi bỏ</w:t>
            </w:r>
          </w:p>
        </w:tc>
        <w:tc>
          <w:tcPr>
            <w:tcW w:w="3686" w:type="dxa"/>
          </w:tcPr>
          <w:p w:rsidR="00862E59" w:rsidRPr="00A73663" w:rsidRDefault="00862E59" w:rsidP="00B74BEE">
            <w:pPr>
              <w:spacing w:before="60" w:after="60"/>
              <w:jc w:val="both"/>
              <w:rPr>
                <w:rFonts w:cs="Times New Roman"/>
                <w:sz w:val="24"/>
                <w:szCs w:val="24"/>
              </w:rPr>
            </w:pPr>
            <w:r w:rsidRPr="00A73663">
              <w:rPr>
                <w:rFonts w:cs="Times New Roman"/>
                <w:sz w:val="24"/>
                <w:szCs w:val="24"/>
              </w:rPr>
              <w:t>Thông tư liên tịch này không còn áp dụng trên thực tế. Nội dung chính sách quy định tại Thông tư liên tịch số 135/2008/TTLT-BTC-BTNMT đã được quy định tại Quyết định số 04/2018/QĐ-TTg ngày 23/01/2018 của Thủ tướng Chính phủ ban hành Quy định phương pháp xác định chi phí, đánh giá tiềm năng khoáng sản, chi phí thăm dò khoáng sản phải hoàn trả, phương thức hoàn trả; quy định chế độ thu, quản lý, sử dụng chi phí đánh giá tiềm năng khoáng sản, thăm dò khoáng sản do Nhà nước đầu tư.</w:t>
            </w:r>
          </w:p>
        </w:tc>
        <w:tc>
          <w:tcPr>
            <w:tcW w:w="1418" w:type="dxa"/>
          </w:tcPr>
          <w:p w:rsidR="00862E59" w:rsidRPr="00A73663" w:rsidRDefault="00862E59" w:rsidP="00B74BEE">
            <w:pPr>
              <w:spacing w:before="60" w:after="60"/>
              <w:jc w:val="center"/>
              <w:rPr>
                <w:rFonts w:cs="Times New Roman"/>
                <w:sz w:val="24"/>
                <w:szCs w:val="24"/>
              </w:rPr>
            </w:pPr>
            <w:r w:rsidRPr="00A73663">
              <w:rPr>
                <w:rFonts w:cs="Times New Roman"/>
                <w:sz w:val="24"/>
                <w:szCs w:val="24"/>
              </w:rPr>
              <w:t>BTC/QLGSCST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A2880" w:rsidTr="00A9798D">
        <w:trPr>
          <w:tblHeader/>
        </w:trPr>
        <w:tc>
          <w:tcPr>
            <w:tcW w:w="624" w:type="dxa"/>
          </w:tcPr>
          <w:p w:rsidR="00862E59" w:rsidRPr="00D9751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Thuế</w:t>
            </w:r>
          </w:p>
        </w:tc>
        <w:tc>
          <w:tcPr>
            <w:tcW w:w="851"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Thông tư</w:t>
            </w:r>
          </w:p>
        </w:tc>
        <w:tc>
          <w:tcPr>
            <w:tcW w:w="2409"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75A-TC/TCT ngày 31/8/1993</w:t>
            </w:r>
          </w:p>
        </w:tc>
        <w:tc>
          <w:tcPr>
            <w:tcW w:w="3686"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Thông tư số 75A-TC/TCT ngày 31/8/1993 của Bộ Tài chính hướng dẫn thi hành Nghị định số 57-CP ngày 28/8/1993 của Chính phủ quy định chi tiết thi hành Luật thuế lợi tức và Luật sửa đổi, bổ sung một số điều của Luật thuế lợi tức</w:t>
            </w:r>
          </w:p>
        </w:tc>
        <w:tc>
          <w:tcPr>
            <w:tcW w:w="1417"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Đề nghị bãi bỏ</w:t>
            </w:r>
          </w:p>
        </w:tc>
        <w:tc>
          <w:tcPr>
            <w:tcW w:w="3686" w:type="dxa"/>
          </w:tcPr>
          <w:p w:rsidR="00862E59" w:rsidRPr="002A2880" w:rsidRDefault="00862E59" w:rsidP="00B74BEE">
            <w:pPr>
              <w:spacing w:before="60" w:after="60"/>
              <w:jc w:val="both"/>
              <w:rPr>
                <w:rFonts w:cs="Times New Roman"/>
                <w:sz w:val="24"/>
                <w:szCs w:val="24"/>
              </w:rPr>
            </w:pPr>
            <w:r w:rsidRPr="002A2880">
              <w:rPr>
                <w:rFonts w:cs="Times New Roman"/>
                <w:sz w:val="24"/>
                <w:szCs w:val="24"/>
              </w:rPr>
              <w:t>Căn cứ pháp lý đã hết hiệu lực và không còn áp dụng trong thực tiễn</w:t>
            </w:r>
          </w:p>
        </w:tc>
        <w:tc>
          <w:tcPr>
            <w:tcW w:w="1418" w:type="dxa"/>
          </w:tcPr>
          <w:p w:rsidR="00862E59" w:rsidRPr="002A2880" w:rsidRDefault="00862E59" w:rsidP="00B74BEE">
            <w:pPr>
              <w:spacing w:before="60" w:after="60"/>
              <w:jc w:val="center"/>
              <w:rPr>
                <w:rFonts w:cs="Times New Roman"/>
                <w:sz w:val="24"/>
                <w:szCs w:val="24"/>
              </w:rPr>
            </w:pPr>
            <w:r w:rsidRPr="002A2880">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53FA8" w:rsidTr="00A9798D">
        <w:trPr>
          <w:tblHeader/>
        </w:trPr>
        <w:tc>
          <w:tcPr>
            <w:tcW w:w="624" w:type="dxa"/>
          </w:tcPr>
          <w:p w:rsidR="00862E59" w:rsidRPr="00253FA8"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Thuế</w:t>
            </w: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Thông tư</w:t>
            </w:r>
          </w:p>
        </w:tc>
        <w:tc>
          <w:tcPr>
            <w:tcW w:w="2409"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105/2000/TT-BTC ngày 23/10/2000</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Thông tư số 105/2000/TT-BTC ngày 23/10/2000 của Bộ Tài chính về hướng dẫn việc miễn nộp nợ thuế sử dụng đất nông nghiệp, thuế nhà đất từ năm 1999 trở về trước</w:t>
            </w:r>
          </w:p>
        </w:tc>
        <w:tc>
          <w:tcPr>
            <w:tcW w:w="1417"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53FA8" w:rsidTr="00A9798D">
        <w:trPr>
          <w:tblHeader/>
        </w:trPr>
        <w:tc>
          <w:tcPr>
            <w:tcW w:w="624" w:type="dxa"/>
          </w:tcPr>
          <w:p w:rsidR="00862E59" w:rsidRPr="00253FA8"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Thuế</w:t>
            </w:r>
          </w:p>
        </w:tc>
        <w:tc>
          <w:tcPr>
            <w:tcW w:w="851"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Thông tư</w:t>
            </w:r>
          </w:p>
        </w:tc>
        <w:tc>
          <w:tcPr>
            <w:tcW w:w="2409"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24/2002/TT-BTC ngày 20/3/2002</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Thông tư 24/2002/TT-BTC của Bộ Tài chính hướng dẫn thực hiện nghĩa vụ thuế đối với các hoạt động cho thuê tài chính</w:t>
            </w:r>
          </w:p>
        </w:tc>
        <w:tc>
          <w:tcPr>
            <w:tcW w:w="1417"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Đề nghị bãi bỏ</w:t>
            </w:r>
          </w:p>
        </w:tc>
        <w:tc>
          <w:tcPr>
            <w:tcW w:w="3686" w:type="dxa"/>
          </w:tcPr>
          <w:p w:rsidR="00862E59" w:rsidRPr="00253FA8" w:rsidRDefault="00862E59" w:rsidP="00B74BEE">
            <w:pPr>
              <w:spacing w:before="60" w:after="60"/>
              <w:jc w:val="both"/>
              <w:rPr>
                <w:rFonts w:cs="Times New Roman"/>
                <w:sz w:val="24"/>
                <w:szCs w:val="24"/>
              </w:rPr>
            </w:pPr>
            <w:r w:rsidRPr="00253FA8">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253FA8" w:rsidRDefault="00862E59" w:rsidP="00B74BEE">
            <w:pPr>
              <w:spacing w:before="60" w:after="60"/>
              <w:jc w:val="center"/>
              <w:rPr>
                <w:rFonts w:cs="Times New Roman"/>
                <w:sz w:val="24"/>
                <w:szCs w:val="24"/>
              </w:rPr>
            </w:pPr>
            <w:r w:rsidRPr="00253FA8">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02/2004/TT-BTC ngày </w:t>
            </w:r>
            <w:r>
              <w:rPr>
                <w:rFonts w:cs="Times New Roman"/>
                <w:sz w:val="24"/>
                <w:szCs w:val="24"/>
              </w:rPr>
              <w:t>0</w:t>
            </w:r>
            <w:r w:rsidRPr="004B123E">
              <w:rPr>
                <w:rFonts w:cs="Times New Roman"/>
                <w:sz w:val="24"/>
                <w:szCs w:val="24"/>
              </w:rPr>
              <w:t>8/1/2004</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02/2004/TT-BTC ngày 08/1/2004 của Bộ Tài chính về việc hướng dẫn xoá nợ thuế cho hộ gia đình, cá nhân kinh doanh có nợ thuế do nguyên nhân khách quan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Căn cứ pháp lý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123/2004/TT-BTC ngày 22/12/2004</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123/2004/TT-BTC của Bộ Tài chính về việc hướng dẫn thực hiện ưu đãi về thuế đối với doanh nghiệp phần mềm (đã được đính chính bởi công văn số 2101/TC-VP ngày 22/02/2005 của Bộ Tài chính)</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quy phạm pháp luật là căn cứ pháp lý ban hành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114/2007/TT-BTC ngày 25/9/2007</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114/2007/TT-BTC ngày 25/9/2007 của Bộ Tài chính về việc sửa đổi, bổ sung Thông tư số 95/2004/TT-BTC ngày 11/10/2004 của Bộ Tài chính hướng dẫn một số chính sách hỗ trợ tài chính và ưu đãi về thuế phát triển vùng nguyên liệu và công nghiệp chế biến nông, lâm, thuỷ sản, muối</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Căn cứ pháp lý đã hết hiệu lực và không còn áp dụng trong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160/2009/TT-BTC ngày 12/8/2009</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160/2009/TT-BTC ngày 12/8/2009 của Bộ Tài chính hướng dẫn miễn thuế thu nhập cá nhân năm 2009 theo Nghị quyết số 32/2009/QH12 ngày 19/06/2009 của Quốc hội về việc điều chỉnh mục tiêu tổng quát, một số chỉ tiêu kinh tế, Ngân sách Nhà nước, phát hành bổ sung trái phiếu Chính phủ năm 2009 và miễn, giảm thuế thu nhập cá nhân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chỉ áp dụng cho năm 2009 và không còn áp dụng trên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175/2010/TT-BTC ngày </w:t>
            </w:r>
            <w:r>
              <w:rPr>
                <w:rFonts w:cs="Times New Roman"/>
                <w:sz w:val="24"/>
                <w:szCs w:val="24"/>
              </w:rPr>
              <w:t>0</w:t>
            </w:r>
            <w:r w:rsidRPr="004B123E">
              <w:rPr>
                <w:rFonts w:cs="Times New Roman"/>
                <w:sz w:val="24"/>
                <w:szCs w:val="24"/>
              </w:rPr>
              <w:t>5/11/2010</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175/2010/TT-BTC của Bộ Tài chính về việc sửa đổi, bổ sung Thông tư 84/2008/TT-BTC ngày 30/09/2008 của Bộ Tài chính hướng dẫn thi hành một số điều của Luật Thuế thu nhập cá nhân và hướng dẫn thi hành Nghị định số 100/2008/NĐ-CP ngày 08/09/2008 của Chính phủ quy định chi tiết một số điều của Luật Thuế thu nhập cá nhân</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175/2010/TT-BTC của Bộ Tài chính về việc sửa đổi, bổ sung Thông tư 84/2008/TT-BTC (Thông tư 84/2008/TT-BTC) đã bị bãi bỏ bởi Thông tư số 111/2013/TT-BTC; Điều  3 Thông tư 175/2010/TT-BTC được bãi bỏ bởi Thông tư số 80/2012/TT-BTC (mẫu tờ khai đăng ký Thuế Thu nhập cá nhân số 01/ĐK-TNCN ban hành kèm theo Thông tư số 84/2008/TT-BTC ngày 30/9/2008 được thay thế bằng mẫu tờ khai đăng ký Thuế Thu nhập cá nhân số 01/ĐK-TNCN kèm theo Thông tư số 80/2012/TT-BTC).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120/2011/TT-BTC ngày 16/8/2011</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120/2011/TT-BTC ngày 16/8/2011 của Bộ Tài chính hướng dẫn Nghị định số 20/2011/NĐ-CP ngày 23/3/2011 của Chính phủ quy định chi tiết và hướng dẫn thi hành Nghị quyết số 55/2010/QH12 ngày 24/11/2010 của Quốc hội về việc miễn, giảm thuế sử dụng đất nông nghiệp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quy định việc xét, quyết định miễn, giảm thuế sử dụng đất nông nghiệp được thực hiện từ năm thuế 2011 đến hết năm thuế 2020.</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128/2011/TT-BTC ngày 12/9/2011</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128/2011/TT-BTC ngày 12/9/2011 của Bộ Tài chính về việc hướng dẫn thuế giá trị gia tăng và thuế thu nhập doanh nghiệp đối với cơ sở y tế công lập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 xml:space="preserve">Nội dung không còn phù hợp với thực tế; đồng thời nội dung này đã được quy định tại Luật </w:t>
            </w:r>
            <w:r>
              <w:rPr>
                <w:rFonts w:cs="Times New Roman"/>
                <w:sz w:val="24"/>
                <w:szCs w:val="24"/>
              </w:rPr>
              <w:t>T</w:t>
            </w:r>
            <w:r w:rsidRPr="004B123E">
              <w:rPr>
                <w:rFonts w:cs="Times New Roman"/>
                <w:sz w:val="24"/>
                <w:szCs w:val="24"/>
              </w:rPr>
              <w:t>huế TNDN, GTGT (Khoản 5 Điều 11 Nghị định số 218/2013/NĐ-CP; Thông tư số 219/2013/TT-BTC)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83/2012/TT-BTC ngày 23/5/2012</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83/2012/TT-BTC ngày 23/5/2012 của Bộ Tài chính hướng dẫn thực hiện việc miễn, giảm, gia hạn một số khoản thu ngân sách nhà nước theo Nghị quyết số 13/NQ-CP ngày 10/5/2012 của Chính phủ về một số giải pháp tháo gỡ khó khăn cho sản xuất kinh doanh, hỗ trợ thị trường</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Văn bản không còn áp dụng trên thực tiễn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175/2012/TT-BTC ngày 22/10/2012</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175/2012/TT-BTC ngày 22/10/2012 hướng dẫn gia hạn nộp thuế giá trị gia tăng theo Nghị quyết số 67/NQ-CP ngày 05/10/2012 của Chính phủ</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Thời hạn gia hạn nộp thuế GTGT tháng 6 năm 2012 chậm nhất là ngày 20/4/2013 và không còn áp dụng trên thực tế</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 xml:space="preserve">16/2013/TT-BTC ngày </w:t>
            </w:r>
            <w:r>
              <w:rPr>
                <w:rFonts w:cs="Times New Roman"/>
                <w:sz w:val="24"/>
                <w:szCs w:val="24"/>
              </w:rPr>
              <w:t>0</w:t>
            </w:r>
            <w:r w:rsidRPr="004B123E">
              <w:rPr>
                <w:rFonts w:cs="Times New Roman"/>
                <w:sz w:val="24"/>
                <w:szCs w:val="24"/>
              </w:rPr>
              <w:t>8/2/2013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16/2013/TT-BTC ngày 08/02/2013 của Bộ Tài chính hướng dẫn thực hiện việc gia hạn, giảm một số khoản thu Ngân sách Nhà nước theo Nghị quyết số 02/NQ-CP ngày 07 tháng 01 năm 2013 của Chính phủ về một số giải pháp tháo gỡ khó khăn cho sản xuất kinh doanh, hỗ trợ thị trường, giải quyết nợ xấu</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Điều 1, Điều 5, Điều 6 và Điều 7 Thông tư số 16/2013/TT-BTC thì việc gia hạn 06 tháng thời hạn nộp thuế thu nhập doanh nghiệp đối với số thuế thu nhập doanh nghiệp phát sinh phải nộp quý I và 03 tháng thời hạn nộp thuế thu nhập doanh nghiệp đối với số thuế thu nhập doanh nghiệp phát sinh phải nộp quý II và quý III năm 2013 ; Gia hạn 06 tháng thời hạn nộp thuế giá trị gia tăng (GTGT) đối với số thuế GTGT phát sinh phải nộp của tháng 1, tháng 2, tháng 3 năm 2013 ; Giảm số tiền thuê đất phát sinh năm 2013, năm 2014; Được nộp tiền sử dụng đất trong thời hạn 24 tháng kể từ ngày phải nộp tiền sử dụng đất thông báo lần đầu của cơ quan thuế hoặc văn bản của cơ quan nhà nước có thẩm quyền.</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141/2013/TT-BTC ngày 16/10/2013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141/2013/TT-BTC ngày 16/10/2013 của Bộ Tài chính về việc hướng dẫn thi hành Nghị định số 92/2013/NĐ-CP ngày 13/08/2013 của Chính phủ quy định chi tiết thi hành một số điều có hiệu lực từ ngày 01/07/2013 của Luật sửa đổi, bổ sung một số điều của Luật Thuế thu nhập doanh nghiệp và Luật sửa đổi, bổ sung một số điều của Luật Thuế giá trị gia tăng</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Default="00862E59" w:rsidP="00B74BEE">
            <w:pPr>
              <w:spacing w:before="60" w:after="60"/>
              <w:jc w:val="both"/>
              <w:rPr>
                <w:rFonts w:cs="Times New Roman"/>
                <w:sz w:val="24"/>
                <w:szCs w:val="24"/>
              </w:rPr>
            </w:pPr>
            <w:r w:rsidRPr="004B123E">
              <w:rPr>
                <w:rFonts w:cs="Times New Roman"/>
                <w:sz w:val="24"/>
                <w:szCs w:val="24"/>
              </w:rPr>
              <w:t xml:space="preserve">Các </w:t>
            </w:r>
            <w:r>
              <w:rPr>
                <w:rFonts w:cs="Times New Roman"/>
                <w:sz w:val="24"/>
                <w:szCs w:val="24"/>
              </w:rPr>
              <w:t xml:space="preserve">văn bản </w:t>
            </w:r>
            <w:r w:rsidRPr="004B123E">
              <w:rPr>
                <w:rFonts w:cs="Times New Roman"/>
                <w:sz w:val="24"/>
                <w:szCs w:val="24"/>
              </w:rPr>
              <w:t>QPPL là căn cứ ban hành Thông tư đã hết hiệu lực và không còn áp dụng trên thực tế</w:t>
            </w:r>
            <w:r>
              <w:rPr>
                <w:rFonts w:cs="Times New Roman"/>
                <w:sz w:val="24"/>
                <w:szCs w:val="24"/>
              </w:rPr>
              <w:t>.</w:t>
            </w:r>
          </w:p>
          <w:p w:rsidR="00862E59" w:rsidRPr="004B123E" w:rsidRDefault="00862E59" w:rsidP="00B74BEE">
            <w:pPr>
              <w:spacing w:before="60" w:after="60"/>
              <w:jc w:val="both"/>
              <w:rPr>
                <w:rFonts w:cs="Times New Roman"/>
                <w:sz w:val="24"/>
                <w:szCs w:val="24"/>
              </w:rPr>
            </w:pPr>
            <w:r w:rsidRPr="004B123E">
              <w:rPr>
                <w:rFonts w:cs="Times New Roman"/>
                <w:sz w:val="24"/>
                <w:szCs w:val="24"/>
              </w:rPr>
              <w:br/>
            </w:r>
            <w:r w:rsidRPr="004B123E">
              <w:rPr>
                <w:rFonts w:cs="Times New Roman"/>
                <w:sz w:val="24"/>
                <w:szCs w:val="24"/>
              </w:rPr>
              <w:br/>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160/2013/TT-BTC ngày 14/11/2013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160/2013/TT-BTC hướng dẫn Nghị định 94/2012/NĐ-CP về in, phát hành, quản lý và sử dụng tem đối với sản phẩm rượu nhập khẩu và rượu sản xuất để tiêu thụ trong nước do Bộ trưởng Bộ Tài chính ban hành</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Nội dung được quy đinh tại Thông tư số 15/2020/TT-BTC ngày 23/3/2020 của Bộ Tài chính hướng dẫn việc in, phát hành, quản lý và sử dụng tem đối với rượu sản xuất để tiêu thụ trong nước và rượu nhập khẩu. Ngày 1/7/2022 Thông tư số 15/2020/TT-BTC hết hiệu lực bởi Thông tư số 23/2021/TT-BTC ngày 30/3/2021 của Bộ Tài chính hướng dẫn việc in, phát hành, quản lý và sử dụng tem điện tử rượu và tem điện tử thuốc lá</w:t>
            </w:r>
            <w:r>
              <w:rPr>
                <w:rFonts w:cs="Times New Roman"/>
                <w:sz w:val="24"/>
                <w:szCs w:val="24"/>
              </w:rPr>
              <w:t>.</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p w:rsidR="00862E59" w:rsidRPr="004B123E" w:rsidRDefault="00862E59" w:rsidP="00B74BEE">
            <w:pPr>
              <w:spacing w:before="60" w:after="60"/>
              <w:jc w:val="center"/>
              <w:rPr>
                <w:rFonts w:cs="Times New Roman"/>
                <w:sz w:val="24"/>
                <w:szCs w:val="24"/>
              </w:rPr>
            </w:pPr>
            <w:r w:rsidRPr="004B123E">
              <w:rPr>
                <w:rFonts w:cs="Times New Roman"/>
                <w:sz w:val="24"/>
                <w:szCs w:val="24"/>
              </w:rPr>
              <w:t>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rPr>
          <w:tblHeader/>
        </w:trPr>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215/2013/TT-BTC ngày 31/12/2013</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215/2013/TT-BTC ngày 31/12/2013 của Bộ Tài chính hướng dẫn về cưỡng chế thi hành Quyết định hành chính thuế</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Nội dung của văn bản đã được đưa vào Luật Quản lý thuế số 38/2019/QH15</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4B123E" w:rsidTr="00A9798D">
        <w:tc>
          <w:tcPr>
            <w:tcW w:w="624" w:type="dxa"/>
          </w:tcPr>
          <w:p w:rsidR="00862E59" w:rsidRPr="004B123E"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Thuế</w:t>
            </w:r>
          </w:p>
        </w:tc>
        <w:tc>
          <w:tcPr>
            <w:tcW w:w="851"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Thông tư</w:t>
            </w:r>
          </w:p>
        </w:tc>
        <w:tc>
          <w:tcPr>
            <w:tcW w:w="2409"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t>127/2015/TT-BTC ngày 21/8/2015</w:t>
            </w:r>
          </w:p>
        </w:tc>
        <w:tc>
          <w:tcPr>
            <w:tcW w:w="3686"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Thông tư số 127/2015/TT-BTC ngày 21/8/2015 của Bộ Tài chính hướng dẫn việc cấp mã số doanh nghiệp thành lập mới và phân công cơ quan thuế quản lý đối với doanh nghiệp</w:t>
            </w:r>
          </w:p>
        </w:tc>
        <w:tc>
          <w:tcPr>
            <w:tcW w:w="1417" w:type="dxa"/>
          </w:tcPr>
          <w:p w:rsidR="00862E59" w:rsidRPr="004B123E" w:rsidRDefault="00862E59" w:rsidP="00B74BEE">
            <w:pPr>
              <w:spacing w:before="60" w:after="60"/>
              <w:jc w:val="both"/>
              <w:rPr>
                <w:rFonts w:cs="Times New Roman"/>
                <w:sz w:val="24"/>
                <w:szCs w:val="24"/>
              </w:rPr>
            </w:pPr>
            <w:r w:rsidRPr="004B123E">
              <w:rPr>
                <w:rFonts w:cs="Times New Roman"/>
                <w:sz w:val="24"/>
                <w:szCs w:val="24"/>
              </w:rPr>
              <w:t>Đề nghị bãi bỏ</w:t>
            </w:r>
          </w:p>
        </w:tc>
        <w:tc>
          <w:tcPr>
            <w:tcW w:w="3686" w:type="dxa"/>
          </w:tcPr>
          <w:p w:rsidR="00862E59" w:rsidRDefault="00862E59" w:rsidP="00B74BEE">
            <w:pPr>
              <w:spacing w:before="60" w:after="60"/>
              <w:jc w:val="both"/>
              <w:rPr>
                <w:rFonts w:cs="Times New Roman"/>
                <w:sz w:val="24"/>
                <w:szCs w:val="24"/>
              </w:rPr>
            </w:pPr>
            <w:r w:rsidRPr="004B123E">
              <w:rPr>
                <w:rFonts w:cs="Times New Roman"/>
                <w:sz w:val="24"/>
                <w:szCs w:val="24"/>
              </w:rPr>
              <w:t xml:space="preserve">- Thông tư 127/2015/TT-BTC hướng dẫn việc cấp mã số doanh nghiệp tự động theo phương thức điện tử trên Hệ thống đăng ký thuế của Tổng cục Thuế và trao đổi thông tin đăng ký thuế với Hệ thống thông tin quốc gia về ĐKDN theo quy định </w:t>
            </w:r>
            <w:r w:rsidRPr="004B123E">
              <w:rPr>
                <w:rFonts w:cs="Times New Roman"/>
                <w:sz w:val="24"/>
                <w:szCs w:val="24"/>
              </w:rPr>
              <w:lastRenderedPageBreak/>
              <w:t xml:space="preserve">của Luật Doanh nghiệp và Luật Quản lý thuế hiện hành; hướng dẫn việc phân công cơ quan thuế quản lý đối với doanh nghiệp thành lập theo quy định của Luật Doanh nghiệp. </w:t>
            </w:r>
            <w:r w:rsidRPr="004B123E">
              <w:rPr>
                <w:rFonts w:cs="Times New Roman"/>
                <w:sz w:val="24"/>
                <w:szCs w:val="24"/>
              </w:rPr>
              <w:br/>
              <w:t>Theo Điều 5 Thông tư này quy định: "Việc phân công cơ quan thuế quản lý đối với doanh nghiệp thành lập mới theo hướng dẫn tại Thông tư này được thực hiện đến 31/12/2016. Từ ngày 01/01/2017, thực hiện Luật NSNN số 83/2015/QH13, Bộ Tài chính sẽ có hướng dẫn cụ thể về việc phân công cơ quan thuế quản lý đối với doanh nghiệp để thực hiện."</w:t>
            </w:r>
            <w:r w:rsidRPr="004B123E">
              <w:rPr>
                <w:rFonts w:cs="Times New Roman"/>
                <w:sz w:val="24"/>
                <w:szCs w:val="24"/>
              </w:rPr>
              <w:br/>
              <w:t>- Ngày 31/12/2016, Bộ Tài chính ban hành Quyết định số 2845/QĐ-BTC ban hành quy định phân công cơ quan thuế quản lý đối với người nộp thuế, thực hiện từ ngày 01/01/2017. Do đó, nội dung hướng dẫn về phân công cơ quan thuế quản lý doanh nghiệp tại Điều 3 Thông tư 127/2015/TT-BTC hết hiệu lực từ ngày 01/01/2017.</w:t>
            </w:r>
          </w:p>
          <w:p w:rsidR="00862E59" w:rsidRPr="004B123E" w:rsidRDefault="00862E59" w:rsidP="00B74BEE">
            <w:pPr>
              <w:spacing w:before="60" w:after="60"/>
              <w:jc w:val="both"/>
              <w:rPr>
                <w:rFonts w:cs="Times New Roman"/>
                <w:sz w:val="24"/>
                <w:szCs w:val="24"/>
              </w:rPr>
            </w:pPr>
            <w:r w:rsidRPr="004B123E">
              <w:rPr>
                <w:rFonts w:cs="Times New Roman"/>
                <w:sz w:val="24"/>
                <w:szCs w:val="24"/>
              </w:rPr>
              <w:t xml:space="preserve">- Bộ Tài chính và Bộ KH&amp;ĐT đã ban hành Thông tư liên tịch số 01/2016/TTLT-BKHĐT-BTC ngày 23/2/2016 (có hiệu lực thi hành từ ngày 15/4/2016), trong đó có hướng dẫn quy trình trao đổi thông tin đăng ký thành lập doanh nghiệp, thay đổi thông tin (tại Điều 9, Điều 10), quy trình trao đổi thông tin về việc vi phạm pháp luật của người thành lập, quản lý doanh nghiệp (Điều 16). Do </w:t>
            </w:r>
            <w:r w:rsidRPr="004B123E">
              <w:rPr>
                <w:rFonts w:cs="Times New Roman"/>
                <w:sz w:val="24"/>
                <w:szCs w:val="24"/>
              </w:rPr>
              <w:lastRenderedPageBreak/>
              <w:t xml:space="preserve">đó nội dung hướng dẫn tại Điều 2, Điều 4 của Thông tư số 127/2015/TT-BTC được thay thế bởi hướng dẫn tương ứng tại Điều 9, </w:t>
            </w:r>
            <w:proofErr w:type="gramStart"/>
            <w:r w:rsidRPr="004B123E">
              <w:rPr>
                <w:rFonts w:cs="Times New Roman"/>
                <w:sz w:val="24"/>
                <w:szCs w:val="24"/>
              </w:rPr>
              <w:t>Điều</w:t>
            </w:r>
            <w:proofErr w:type="gramEnd"/>
            <w:r w:rsidRPr="004B123E">
              <w:rPr>
                <w:rFonts w:cs="Times New Roman"/>
                <w:sz w:val="24"/>
                <w:szCs w:val="24"/>
              </w:rPr>
              <w:t xml:space="preserve"> 10, Điều 16 </w:t>
            </w:r>
            <w:r>
              <w:rPr>
                <w:rFonts w:cs="Times New Roman"/>
                <w:sz w:val="24"/>
                <w:szCs w:val="24"/>
              </w:rPr>
              <w:t>Thông tư liên tịch số</w:t>
            </w:r>
            <w:r w:rsidRPr="004B123E">
              <w:rPr>
                <w:rFonts w:cs="Times New Roman"/>
                <w:sz w:val="24"/>
                <w:szCs w:val="24"/>
              </w:rPr>
              <w:t xml:space="preserve"> 01/2016/TTLT-BKHĐT-BTC.</w:t>
            </w:r>
          </w:p>
        </w:tc>
        <w:tc>
          <w:tcPr>
            <w:tcW w:w="1418" w:type="dxa"/>
          </w:tcPr>
          <w:p w:rsidR="00862E59" w:rsidRPr="004B123E" w:rsidRDefault="00862E59" w:rsidP="00B74BEE">
            <w:pPr>
              <w:spacing w:before="60" w:after="60"/>
              <w:jc w:val="center"/>
              <w:rPr>
                <w:rFonts w:cs="Times New Roman"/>
                <w:sz w:val="24"/>
                <w:szCs w:val="24"/>
              </w:rPr>
            </w:pPr>
            <w:r w:rsidRPr="004B123E">
              <w:rPr>
                <w:rFonts w:cs="Times New Roman"/>
                <w:sz w:val="24"/>
                <w:szCs w:val="24"/>
              </w:rPr>
              <w:lastRenderedPageBreak/>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41/2017/TT-BTC ngày 28/4/2017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41/2017/TT-BTC ngày 28/4/2017 của Bộ Tài chính hướng dẫn thực hiện một số điều của Nghị định số 20/2017/NĐ-CP ngày 24 tháng 02 năm 2017 của Chính phủ quy định về quản lý thuế đối với doanh nghiệp có giao dịch liên kết</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Pr>
                <w:rFonts w:cs="Times New Roman"/>
                <w:sz w:val="24"/>
                <w:szCs w:val="24"/>
              </w:rPr>
              <w:t xml:space="preserve">Các văn bản </w:t>
            </w:r>
            <w:r w:rsidRPr="00CE4863">
              <w:rPr>
                <w:rFonts w:cs="Times New Roman"/>
                <w:sz w:val="24"/>
                <w:szCs w:val="24"/>
              </w:rPr>
              <w:t>QPPL là căn cứ ban hành đã hết hiệu lực và không còn áp dụng trên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87/2018/TT-BTC ngày 27/9/2018</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87/2018/TT-BTC ngày 27/9/2018 của Bộ Tài chính về việc sửa đổi, bổ sung một số điều của Thông tư số 215/2013/TT-BTC ngày 31/12/2013 của Bộ Tài chính hướng dẫn về cưỡng chế thi hành quyết định hành chính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Nội dung đã được đưa vào Luật Quản lý thuế số 38/2019/QH14</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43/2019/TT-BTC ngày 12/7/2019</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43/2019/TT-BTC ngày 12/7/2019 của Bộ Tài chính hướng dẫn quy định Khoản 4 Điều 24 Nghị định số 82/2018/NĐ-CP ngày 22/5/2018 của Chính phủ quy định về quản lý Khu công nghiệp và Khu kinh tế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Căn cứ pháp lý đã hết hiệu lực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18/2007/QĐ-BTC ngày 22/3/2007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Quyết định số 18/2007/QĐ-BTC ngày 22/3/2007 của Bộ Tài chính về việc in, phát hành, sử dụng và quản lý vé máy bay điện tử</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BTC/CST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78/2007/QĐ-BTC ngày 18/9/2007</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Quyết định số 78/2007/QĐ-BTC ngày 18/9/2007 của Bộ Tài chính về việc ban hành Quy chế hướng dẫn, </w:t>
            </w:r>
            <w:r w:rsidRPr="00CE4863">
              <w:rPr>
                <w:rFonts w:cs="Times New Roman"/>
                <w:sz w:val="24"/>
                <w:szCs w:val="24"/>
              </w:rPr>
              <w:lastRenderedPageBreak/>
              <w:t>giải đáp vướng mắc về chính sách thuế, quản lý thuế và giải quyết các thủ tục hành chính thuế của người nộp thuế theo cơ chế “một cửa”</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lastRenderedPageBreak/>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r>
              <w:rPr>
                <w:rFonts w:cs="Times New Roman"/>
                <w:sz w:val="24"/>
                <w:szCs w:val="24"/>
              </w:rPr>
              <w:t xml:space="preserve">. </w:t>
            </w:r>
            <w:r w:rsidRPr="00CE4863">
              <w:rPr>
                <w:rFonts w:cs="Times New Roman"/>
                <w:sz w:val="24"/>
                <w:szCs w:val="24"/>
              </w:rPr>
              <w:t xml:space="preserve">Nội dung đã được hướng </w:t>
            </w:r>
            <w:r w:rsidRPr="00CE4863">
              <w:rPr>
                <w:rFonts w:cs="Times New Roman"/>
                <w:sz w:val="24"/>
                <w:szCs w:val="24"/>
              </w:rPr>
              <w:lastRenderedPageBreak/>
              <w:t xml:space="preserve">dẫn bởi Quyết định số 2351/QĐ-TCT ngày 11/12/2015 </w:t>
            </w:r>
            <w:r>
              <w:rPr>
                <w:rFonts w:cs="Times New Roman"/>
                <w:sz w:val="24"/>
                <w:szCs w:val="24"/>
              </w:rPr>
              <w:t>q</w:t>
            </w:r>
            <w:r w:rsidRPr="00CE4863">
              <w:rPr>
                <w:rFonts w:cs="Times New Roman"/>
                <w:sz w:val="24"/>
                <w:szCs w:val="24"/>
              </w:rPr>
              <w:t>uy trình tiếp nhận và giải quyết TTHC của NNT theo cơ chế một cửa tại cơ quan thuế</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lastRenderedPageBreak/>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Thuế</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Quyết định BTC</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1042/1998/QĐ-BTC ngày 15/8/1998</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Quyết định số 1042/1998/QĐ-BTC ngày 15/8/1998 của Bộ Tài chính về việc ban hành mẫu biên lai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Các </w:t>
            </w:r>
            <w:r>
              <w:rPr>
                <w:rFonts w:cs="Times New Roman"/>
                <w:sz w:val="24"/>
                <w:szCs w:val="24"/>
              </w:rPr>
              <w:t xml:space="preserve">văn bản </w:t>
            </w:r>
            <w:r w:rsidRPr="00CE4863">
              <w:rPr>
                <w:rFonts w:cs="Times New Roman"/>
                <w:sz w:val="24"/>
                <w:szCs w:val="24"/>
              </w:rPr>
              <w:t>QPPL là căn cứ pháp lý đã HHL và không còn áp dụng trong thực tiễn</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BTC/TCT</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Hải quan</w:t>
            </w: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Thông tư</w:t>
            </w:r>
          </w:p>
        </w:tc>
        <w:tc>
          <w:tcPr>
            <w:tcW w:w="2409"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24/2012/TT-BTC ngày 17/02/2012</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số  24/2012/TT-BTC ngày 17/02/2012 của Bộ Tài chính sửa đổi, bổ sung Thông tư số 77/2008/TT-BTC ngày 15/9/2008 hướng dẫn thi hành một số biện pháp xử lý nợ đọng thuế</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thay thế/bãi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Thông tư số 77/2008/TT-BTC ngày 15/9/2008 hướng dẫn thi hành một số biện pháp xử lý nợ đọng thuế đã bị bãi bỏ bởi Thông tư số 103/2020/TT-BTC ngày 26/11/2020 của Bộ Tài chính bãi bỏ văn bản bản quy phạm pháp luật do Bộ trưởng Bộ Tài chính ban hành và liên tịch ban hành trong lĩnh vực thuế, quản lý tài sản công và quản lý nợ công</w:t>
            </w:r>
          </w:p>
          <w:p w:rsidR="00862E59" w:rsidRPr="00CE4863" w:rsidRDefault="00862E59" w:rsidP="00B74BEE">
            <w:pPr>
              <w:spacing w:before="60" w:after="60"/>
              <w:jc w:val="both"/>
              <w:rPr>
                <w:rFonts w:cs="Times New Roman"/>
                <w:sz w:val="24"/>
                <w:szCs w:val="24"/>
              </w:rPr>
            </w:pPr>
            <w:r w:rsidRPr="00CE4863">
              <w:rPr>
                <w:rFonts w:cs="Times New Roman"/>
                <w:sz w:val="24"/>
                <w:szCs w:val="24"/>
              </w:rPr>
              <w:t>- Nội dung về gia hạn nộp thuế và miễn phạt thực hiện theo quy định của Luật sửa đổi, bổ sung Luật Quản lý thuế số 21/2012/QH13</w:t>
            </w:r>
          </w:p>
        </w:tc>
        <w:tc>
          <w:tcPr>
            <w:tcW w:w="1418" w:type="dxa"/>
          </w:tcPr>
          <w:p w:rsidR="00862E59" w:rsidRPr="00866B99" w:rsidRDefault="00862E59" w:rsidP="00B74BEE">
            <w:pPr>
              <w:spacing w:before="60" w:after="60"/>
              <w:jc w:val="center"/>
              <w:rPr>
                <w:rFonts w:cs="Times New Roman"/>
                <w:sz w:val="24"/>
                <w:szCs w:val="24"/>
              </w:rPr>
            </w:pPr>
            <w:r w:rsidRPr="00866B99">
              <w:rPr>
                <w:rFonts w:cs="Times New Roman"/>
                <w:sz w:val="24"/>
                <w:szCs w:val="24"/>
              </w:rPr>
              <w:t>BTC/TCHQ</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155/2009/TT-BTC  ngày 31/7/2009</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155/2009/TT-BTC ngày 31/7/2009 của Bộ Tài chính hướng dẫn chế độ phân phối lợi nhuận của công ty nhà nước</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202/2009/TT-BTC ngày 20/10/2009</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202/2009/TT-BTC ngày 20/10/2009 hướng dẫn một số nội dung về tài chính trong giao, bán doanh nghiệp 100% vốn nhà nước</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92/2011/TT-BTC ngày 23/6/2011</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92/2011/TT-BTC ngày 23/6/2011 của Bộ Tài chính: Hướng dẫn thực hiện trợ cấp khó khăn đối với người lao động trong doanh nghiệp theo Quyết định số 471/QĐ-</w:t>
            </w:r>
            <w:r w:rsidRPr="00CE4863">
              <w:rPr>
                <w:rFonts w:eastAsia="Times New Roman" w:cs="Times New Roman"/>
                <w:sz w:val="24"/>
                <w:szCs w:val="24"/>
              </w:rPr>
              <w:lastRenderedPageBreak/>
              <w:t>TTg ngày 30/3/2011 của Thủ tướng Chính phủ</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lastRenderedPageBreak/>
              <w:t>Đề nghị bãi bỏ</w:t>
            </w:r>
          </w:p>
        </w:tc>
        <w:tc>
          <w:tcPr>
            <w:tcW w:w="3686" w:type="dxa"/>
          </w:tcPr>
          <w:p w:rsidR="00862E59" w:rsidRPr="00CE4863" w:rsidRDefault="00862E59" w:rsidP="00B74BEE">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Tài chính doanh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180/2012/TT-BTC ngày 24/10/2012</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Thông tư số 180/2012/TT-BTC ngày 24/10/2012 của Bộ Tài chính hướng dẫn xử lý tài chính về chi trợ cấp mất việc làm cho người lao động tại doanh nghiệp</w:t>
            </w:r>
          </w:p>
        </w:tc>
        <w:tc>
          <w:tcPr>
            <w:tcW w:w="1417"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Đề nghị bãi bỏ</w:t>
            </w:r>
          </w:p>
        </w:tc>
        <w:tc>
          <w:tcPr>
            <w:tcW w:w="3686" w:type="dxa"/>
          </w:tcPr>
          <w:p w:rsidR="00862E59" w:rsidRPr="00CE4863" w:rsidRDefault="00862E59" w:rsidP="00B74BEE">
            <w:pPr>
              <w:spacing w:before="60" w:after="60"/>
              <w:jc w:val="both"/>
              <w:rPr>
                <w:rFonts w:eastAsia="Times New Roman" w:cs="Times New Roman"/>
                <w:sz w:val="24"/>
                <w:szCs w:val="24"/>
              </w:rPr>
            </w:pPr>
            <w:r w:rsidRPr="00CE4863">
              <w:rPr>
                <w:rFonts w:eastAsia="Times New Roman" w:cs="Times New Roman"/>
                <w:sz w:val="24"/>
                <w:szCs w:val="24"/>
              </w:rPr>
              <w:t>Không còn áp dụng trên thực tế. Chưa có văn bản bãi bỏ</w:t>
            </w:r>
          </w:p>
        </w:tc>
        <w:tc>
          <w:tcPr>
            <w:tcW w:w="1418"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BTC/TCDN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119/2018/TT-BTC ngày 12/5/2018</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119/2018/TT-BTC ngày 05/12/2018 của Bộ Tài chính quy định về tổ chức thực hiện dự án ngân sách Nhà nước năm 2019</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132/2017/TT-BTC ngày 15/12/2017</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132/2017/TT-BTC ngày 15/12/2017 của Bộ Tài chính quy định tổ chức thực hiện dự toán ngân sách nhà nước năm 2018</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2018,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88/2019/TT-BTC ngày 24/12/2019</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88/2019/TT-BTC ngày 24/12/2019 của Bộ trưởng Bộ Tài chính quy định về tổ chức thực hiện dự toán ngân sách nhà nước 2020</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2020,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71/2017/TT-BTC ngày 13/7/2017</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71/2017/TT-BTC ngày 13/7/2017 của Bộ Tài chính hướng dẫn xây dựng dự toán ngân sách nhà nước năm 2018 và kế hoạch tài chính - ngân sách nhà nước 03 năm 2018-2020</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Đã quyết toán NSNN năm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54/2018/TT-BTC ngày 08/6/2018</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54/2018/TT-BTC ngày 08/6/2018 của Bộ Tài chính hướng dẫn xây dựng dự toán ngân sách nhà nước năm 2019 và kế hoạch tài chính - ngân sách nhà nước 03 năm 2019-2021</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2019,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 xml:space="preserve">Ngân sách </w:t>
            </w:r>
            <w:r w:rsidRPr="0082758D">
              <w:rPr>
                <w:rFonts w:cs="Times New Roman"/>
                <w:sz w:val="24"/>
                <w:szCs w:val="24"/>
              </w:rPr>
              <w:lastRenderedPageBreak/>
              <w:t>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lastRenderedPageBreak/>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38/2019/TT-BTC ngày 28/06/2019</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 xml:space="preserve">Thông tư số 38/2019/TT-BTC ngày 28/06/2019 của Bộ trưởng Bộ Tài </w:t>
            </w:r>
            <w:r w:rsidRPr="0082758D">
              <w:rPr>
                <w:rFonts w:eastAsia="Times New Roman" w:cs="Times New Roman"/>
                <w:sz w:val="24"/>
                <w:szCs w:val="24"/>
              </w:rPr>
              <w:lastRenderedPageBreak/>
              <w:t>chính hướng dẫn xây dựng dự toán ngân sách nhà nước năm 2020, kế hoạch tài chính - ngân sách nhà nước 03 năm 2020 - 2022; kế hoạch tài chính 05 năm tỉnh, thành phố trực thuộc trung ương giai đoạn 2021 – 2025</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lastRenderedPageBreak/>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 xml:space="preserve">Không còn áp dụng trên thực tế. Kết thúc năm ngân sách 2020, chưa có </w:t>
            </w:r>
            <w:r w:rsidRPr="0082758D">
              <w:rPr>
                <w:rFonts w:eastAsia="Times New Roman" w:cs="Times New Roman"/>
                <w:sz w:val="24"/>
                <w:szCs w:val="24"/>
              </w:rPr>
              <w:lastRenderedPageBreak/>
              <w:t>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lastRenderedPageBreak/>
              <w:t>BTC/NSNN</w:t>
            </w:r>
          </w:p>
        </w:tc>
        <w:tc>
          <w:tcPr>
            <w:tcW w:w="992" w:type="dxa"/>
          </w:tcPr>
          <w:p w:rsidR="00862E59" w:rsidRPr="00862E59" w:rsidRDefault="00862E59" w:rsidP="00B74BEE">
            <w:pPr>
              <w:jc w:val="center"/>
              <w:rPr>
                <w:rFonts w:cs="Times New Roman"/>
              </w:rPr>
            </w:pPr>
            <w:r w:rsidRPr="00862E59">
              <w:rPr>
                <w:rFonts w:cs="Times New Roman"/>
                <w:sz w:val="24"/>
                <w:szCs w:val="24"/>
              </w:rPr>
              <w:t xml:space="preserve">Dự kiến năm </w:t>
            </w:r>
            <w:r w:rsidRPr="00862E59">
              <w:rPr>
                <w:rFonts w:cs="Times New Roman"/>
                <w:sz w:val="24"/>
                <w:szCs w:val="24"/>
              </w:rPr>
              <w:lastRenderedPageBreak/>
              <w:t>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71/2020/TT-BTC ngày 30/07/2020</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71/2020/TT-BTC ngày 30/07/2020 của Bộ trưởng Bộ Tài chính hướng dẫn xây dựng dự toán ngân sách nhà nước năm 2021, kế hoạch tài chính - ngân sách nhà nước 03 năm 2021 - 2023</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2021,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109/2020/TT-BTC ngày 25/12/2020</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109/2020/TT-BTC ngày 25/12/2020 của Bộ trưởng Bộ Tài chính quy định về tổ chức thực hiện dự toán ngân sách nhà nước năm 2021</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2021,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82758D" w:rsidTr="00A9798D">
        <w:tc>
          <w:tcPr>
            <w:tcW w:w="624" w:type="dxa"/>
          </w:tcPr>
          <w:p w:rsidR="00862E59" w:rsidRPr="0082758D"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82758D" w:rsidRDefault="00862E59" w:rsidP="00B74BEE">
            <w:pPr>
              <w:spacing w:before="60" w:after="60"/>
              <w:jc w:val="center"/>
              <w:rPr>
                <w:rFonts w:cs="Times New Roman"/>
                <w:sz w:val="24"/>
                <w:szCs w:val="24"/>
              </w:rPr>
            </w:pPr>
            <w:r w:rsidRPr="0082758D">
              <w:rPr>
                <w:rFonts w:cs="Times New Roman"/>
                <w:sz w:val="24"/>
                <w:szCs w:val="24"/>
              </w:rPr>
              <w:t>Ngân sách nhà nước</w:t>
            </w:r>
          </w:p>
        </w:tc>
        <w:tc>
          <w:tcPr>
            <w:tcW w:w="851"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Thông tư</w:t>
            </w:r>
          </w:p>
        </w:tc>
        <w:tc>
          <w:tcPr>
            <w:tcW w:w="2409"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122/2021/TT-BTC ngày 24/12/2021</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Thông tư số 122/2021/TT-BTC ngày 24/12/2021 của Bộ trưởng Bộ Tài chính quy định về tổ chức thực hiện dự toán ngân sách nhà nước năm 2022</w:t>
            </w:r>
          </w:p>
        </w:tc>
        <w:tc>
          <w:tcPr>
            <w:tcW w:w="1417"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Đề nghị bãi bỏ</w:t>
            </w:r>
          </w:p>
        </w:tc>
        <w:tc>
          <w:tcPr>
            <w:tcW w:w="3686" w:type="dxa"/>
          </w:tcPr>
          <w:p w:rsidR="00862E59" w:rsidRPr="0082758D" w:rsidRDefault="00862E59" w:rsidP="00B74BEE">
            <w:pPr>
              <w:spacing w:before="60" w:after="60"/>
              <w:jc w:val="both"/>
              <w:rPr>
                <w:rFonts w:eastAsia="Times New Roman" w:cs="Times New Roman"/>
                <w:sz w:val="24"/>
                <w:szCs w:val="24"/>
              </w:rPr>
            </w:pPr>
            <w:r w:rsidRPr="0082758D">
              <w:rPr>
                <w:rFonts w:eastAsia="Times New Roman" w:cs="Times New Roman"/>
                <w:sz w:val="24"/>
                <w:szCs w:val="24"/>
              </w:rPr>
              <w:t>Không còn áp dụng trên thực tế. Kết thúc năm ngân sách 2022, chưa có văn bản bãi bỏ</w:t>
            </w:r>
          </w:p>
        </w:tc>
        <w:tc>
          <w:tcPr>
            <w:tcW w:w="1418" w:type="dxa"/>
          </w:tcPr>
          <w:p w:rsidR="00862E59" w:rsidRPr="0082758D" w:rsidRDefault="00862E59" w:rsidP="00B74BEE">
            <w:pPr>
              <w:spacing w:before="60" w:after="60"/>
              <w:jc w:val="center"/>
              <w:rPr>
                <w:rFonts w:eastAsia="Times New Roman" w:cs="Times New Roman"/>
                <w:sz w:val="24"/>
                <w:szCs w:val="24"/>
              </w:rPr>
            </w:pPr>
            <w:r w:rsidRPr="0082758D">
              <w:rPr>
                <w:rFonts w:eastAsia="Times New Roman" w:cs="Times New Roman"/>
                <w:sz w:val="24"/>
                <w:szCs w:val="24"/>
              </w:rPr>
              <w:t>BTC/NSNN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113082" w:rsidTr="00A9798D">
        <w:tc>
          <w:tcPr>
            <w:tcW w:w="624" w:type="dxa"/>
          </w:tcPr>
          <w:p w:rsidR="00862E59" w:rsidRPr="00113082"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113082" w:rsidRDefault="00862E59" w:rsidP="00B74BEE">
            <w:pPr>
              <w:spacing w:before="60" w:after="60"/>
              <w:jc w:val="center"/>
              <w:rPr>
                <w:rFonts w:cs="Times New Roman"/>
                <w:sz w:val="24"/>
                <w:szCs w:val="24"/>
              </w:rPr>
            </w:pPr>
            <w:r w:rsidRPr="00113082">
              <w:rPr>
                <w:rFonts w:cs="Times New Roman"/>
                <w:sz w:val="24"/>
                <w:szCs w:val="24"/>
              </w:rPr>
              <w:t>Hành chính sự nghiệp</w:t>
            </w:r>
          </w:p>
        </w:tc>
        <w:tc>
          <w:tcPr>
            <w:tcW w:w="851" w:type="dxa"/>
          </w:tcPr>
          <w:p w:rsidR="00862E59" w:rsidRPr="00113082" w:rsidRDefault="00862E59" w:rsidP="00B74BEE">
            <w:pPr>
              <w:spacing w:before="60" w:after="60"/>
              <w:jc w:val="center"/>
            </w:pPr>
            <w:r w:rsidRPr="00113082">
              <w:rPr>
                <w:rFonts w:eastAsia="Times New Roman" w:cs="Times New Roman"/>
                <w:sz w:val="24"/>
                <w:szCs w:val="24"/>
              </w:rPr>
              <w:t>Thông tư liên tịch</w:t>
            </w:r>
          </w:p>
        </w:tc>
        <w:tc>
          <w:tcPr>
            <w:tcW w:w="2409" w:type="dxa"/>
          </w:tcPr>
          <w:p w:rsidR="00862E59" w:rsidRPr="00113082" w:rsidRDefault="00862E59" w:rsidP="00B74BEE">
            <w:pPr>
              <w:spacing w:before="60" w:after="60"/>
              <w:jc w:val="center"/>
              <w:rPr>
                <w:rFonts w:eastAsia="Times New Roman" w:cs="Times New Roman"/>
                <w:sz w:val="24"/>
                <w:szCs w:val="24"/>
              </w:rPr>
            </w:pPr>
            <w:r w:rsidRPr="00113082">
              <w:rPr>
                <w:rFonts w:eastAsia="Times New Roman" w:cs="Times New Roman"/>
                <w:sz w:val="24"/>
                <w:szCs w:val="24"/>
              </w:rPr>
              <w:t>74/2004/TTLT-BTC-BVHTTDL ngày 19/7/2004</w:t>
            </w:r>
          </w:p>
        </w:tc>
        <w:tc>
          <w:tcPr>
            <w:tcW w:w="3686" w:type="dxa"/>
          </w:tcPr>
          <w:p w:rsidR="00862E59" w:rsidRPr="00113082" w:rsidRDefault="00862E59" w:rsidP="00B74BEE">
            <w:pPr>
              <w:spacing w:before="60" w:after="60"/>
              <w:jc w:val="both"/>
              <w:rPr>
                <w:rFonts w:eastAsia="Times New Roman" w:cs="Times New Roman"/>
                <w:sz w:val="24"/>
                <w:szCs w:val="24"/>
              </w:rPr>
            </w:pPr>
            <w:r w:rsidRPr="00113082">
              <w:rPr>
                <w:sz w:val="24"/>
                <w:szCs w:val="24"/>
              </w:rPr>
              <w:t xml:space="preserve">Thông tư liên tịch số 74/2004/TTLT-BTC-BVHTTDL ngày 19/7/2004 </w:t>
            </w:r>
            <w:hyperlink r:id="rId8" w:tooltip="Thông tư liên tịch 74/2004/TTLT/BTC-BVHTT của Bộ Tài chính và Bộ Văn hoá-Thông tin về việc hướng dẫn hỗ trợ kinh phí hoạt động sáng tạo tác phẩm công trình văn học nghệ thuật năm 2004" w:history="1">
              <w:r w:rsidRPr="00113082">
                <w:rPr>
                  <w:rStyle w:val="Hyperlink"/>
                  <w:rFonts w:eastAsia="Times New Roman" w:cs="Times New Roman"/>
                  <w:color w:val="auto"/>
                  <w:sz w:val="24"/>
                  <w:szCs w:val="24"/>
                  <w:u w:val="none"/>
                </w:rPr>
                <w:t>hướng dẫn hỗ trợ kinh phí hoạt động sáng tạo tác phẩm công trình văn học nghệ thuật năm 2004</w:t>
              </w:r>
            </w:hyperlink>
            <w:r w:rsidRPr="00113082">
              <w:rPr>
                <w:rFonts w:eastAsia="Times New Roman" w:cs="Times New Roman"/>
                <w:sz w:val="24"/>
                <w:szCs w:val="24"/>
              </w:rPr>
              <w:t>.</w:t>
            </w:r>
          </w:p>
          <w:p w:rsidR="00862E59" w:rsidRPr="00113082" w:rsidRDefault="00862E59" w:rsidP="00B74BEE">
            <w:pPr>
              <w:spacing w:before="60" w:after="60"/>
              <w:jc w:val="both"/>
              <w:rPr>
                <w:rFonts w:eastAsia="Times New Roman" w:cs="Times New Roman"/>
                <w:sz w:val="24"/>
                <w:szCs w:val="24"/>
              </w:rPr>
            </w:pPr>
          </w:p>
        </w:tc>
        <w:tc>
          <w:tcPr>
            <w:tcW w:w="1417" w:type="dxa"/>
          </w:tcPr>
          <w:p w:rsidR="00862E59" w:rsidRPr="00113082" w:rsidRDefault="00862E59" w:rsidP="00B74BEE">
            <w:pPr>
              <w:spacing w:before="60" w:after="60"/>
              <w:jc w:val="both"/>
              <w:rPr>
                <w:rFonts w:eastAsia="Times New Roman" w:cs="Times New Roman"/>
                <w:sz w:val="24"/>
                <w:szCs w:val="24"/>
              </w:rPr>
            </w:pPr>
            <w:r w:rsidRPr="00113082">
              <w:rPr>
                <w:rFonts w:eastAsia="Times New Roman" w:cs="Times New Roman"/>
                <w:sz w:val="24"/>
                <w:szCs w:val="24"/>
              </w:rPr>
              <w:t>Đề nghị bãi bỏ/thay thế</w:t>
            </w:r>
          </w:p>
        </w:tc>
        <w:tc>
          <w:tcPr>
            <w:tcW w:w="3686" w:type="dxa"/>
          </w:tcPr>
          <w:p w:rsidR="00862E59" w:rsidRPr="00113082" w:rsidRDefault="00862E59" w:rsidP="00B74BEE">
            <w:pPr>
              <w:spacing w:before="60" w:after="60"/>
              <w:jc w:val="both"/>
              <w:rPr>
                <w:rFonts w:eastAsia="Times New Roman" w:cs="Times New Roman"/>
                <w:sz w:val="24"/>
                <w:szCs w:val="24"/>
              </w:rPr>
            </w:pPr>
            <w:r w:rsidRPr="00113082">
              <w:rPr>
                <w:rFonts w:eastAsia="Times New Roman" w:cs="Times New Roman"/>
                <w:sz w:val="24"/>
                <w:szCs w:val="24"/>
              </w:rPr>
              <w:t xml:space="preserve">Hiện nay, Thông tư số 74/2004/TTLT-BTC-BVHTTDL </w:t>
            </w:r>
            <w:r>
              <w:rPr>
                <w:rFonts w:eastAsia="Times New Roman" w:cs="Times New Roman"/>
                <w:sz w:val="24"/>
                <w:szCs w:val="24"/>
              </w:rPr>
              <w:t>k</w:t>
            </w:r>
            <w:r w:rsidRPr="00113082">
              <w:rPr>
                <w:rFonts w:eastAsia="Times New Roman" w:cs="Times New Roman"/>
                <w:sz w:val="24"/>
                <w:szCs w:val="24"/>
              </w:rPr>
              <w:t>hông còn phù hợp, chưa có văn bản bãi bỏ</w:t>
            </w:r>
          </w:p>
        </w:tc>
        <w:tc>
          <w:tcPr>
            <w:tcW w:w="1418" w:type="dxa"/>
          </w:tcPr>
          <w:p w:rsidR="00862E59" w:rsidRPr="00113082" w:rsidRDefault="00862E59" w:rsidP="00B74BEE">
            <w:pPr>
              <w:spacing w:before="60" w:after="60"/>
              <w:jc w:val="center"/>
              <w:rPr>
                <w:rFonts w:eastAsia="Times New Roman" w:cs="Times New Roman"/>
                <w:sz w:val="24"/>
                <w:szCs w:val="24"/>
              </w:rPr>
            </w:pPr>
            <w:r w:rsidRPr="00113082">
              <w:rPr>
                <w:rFonts w:eastAsia="Times New Roman"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46/2016/TTLT-BTC-BVHTTDL ngày 11/3/2016</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Thông tư liên tịch số 46/2016/TTLT-BTC-BVHTTDL ngày 11/3/2016 hướng dẫn chế độ quản lý đặc thù đối với Đội Tuyên </w:t>
            </w:r>
            <w:r w:rsidRPr="00225079">
              <w:rPr>
                <w:rFonts w:eastAsia="Times New Roman" w:cs="Times New Roman"/>
                <w:sz w:val="24"/>
                <w:szCs w:val="24"/>
              </w:rPr>
              <w:lastRenderedPageBreak/>
              <w:t>truyền lưu động cấp tỉnh và cấp huyện.</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lastRenderedPageBreak/>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Bộ Tài chính dự thảo Thông tư bãi bỏ một phần Thông tư liên tịch số 46/2016/TTLT-BTC-BVHTTDL ngày 11/3/2016 của Bộ Tài chính, </w:t>
            </w:r>
            <w:r w:rsidRPr="00225079">
              <w:rPr>
                <w:rFonts w:eastAsia="Times New Roman" w:cs="Times New Roman"/>
                <w:sz w:val="24"/>
                <w:szCs w:val="24"/>
              </w:rPr>
              <w:lastRenderedPageBreak/>
              <w:t>Bộ Văn hóa, Thể thao và Du lịch hướng dẫn chế độ quản lý đặc thù đối với Đội tuyên truyền lưu động và có công văn số 666/BTC-HCSN và số 667/BTC-HCSN ngày 16/01/2024 gửi lấy ý kiến các Bộ, ngành, địa phương và đăng tải trên Cổng thông tin điện tử Chính phủ, Cổng thông tin điện tử của Bộ Tài chính.</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143/2011/TTLT-BTC-BVHTTDL ngày 21/10/2011</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số 143/2011/TTLT-BTC-BVHTTDL ngày 21/10/2011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này được ban hành căn cứ Luật Phòng, chống bạo lực gia đình năm 2007 và Nghị định số 08/2009/NĐ-CP ngày 04/02/2009 của Chính phủ quy định chi tiết và hướng dẫn thi hành một số điều của Luật Phòng, chống bạo lực gia đình năm 2007. Đến nay, Quốc hội đã ban hành Luật Phòng, chống bạo lực gia đình năm 2022 (thay thế Luật Phòng, chống bạo lực gia đình năm 2007); Chính phủ đã ban hành Nghị định số 76/2023/NĐ-CP ngày 01/11/2023 quy định chi tiết một số điều của Luật Phòng, chống bạo lực gia đình (thay thế Nghị định số 08/2009/NĐ-CP). Tại Nghị định số 76/2023/NĐ-CP đã có 01 Chương riêng quy định về chi ngân sách nhà nước cho hoạt động phòng, chống bạo lực gia đình, trong đó đã quy định cụ thể về bố trí, dự toán NSNN, quản lý, sử dụng và quyết toán NSNN, nội dung và mức chi các hoạt động phòng, chống bạo lực gia đình.</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 xml:space="preserve">Vì vậy, hiện nay Bộ Tài chính đang </w:t>
            </w:r>
            <w:r w:rsidRPr="00225079">
              <w:rPr>
                <w:rFonts w:eastAsia="Times New Roman" w:cs="Times New Roman"/>
                <w:sz w:val="24"/>
                <w:szCs w:val="24"/>
              </w:rPr>
              <w:lastRenderedPageBreak/>
              <w:t>xây dựng dự thảo Thông tư bãi bỏ Thông tư liên tịch này.</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32/2000/TTLT-BTC-BVHTTDL ngày 26/4/2000</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số 32/2000/TTLT-BTC-BVHTTDL ngày 26/4/2000 hướng dẫn chế độ quản lý tài chính đối với các cơ sở ngoài công lập hoạt động trong lĩnh vực văn hóa</w:t>
            </w:r>
          </w:p>
        </w:tc>
        <w:tc>
          <w:tcPr>
            <w:tcW w:w="1417"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Đề nghị bãi bỏ</w:t>
            </w:r>
          </w:p>
        </w:tc>
        <w:tc>
          <w:tcPr>
            <w:tcW w:w="3686" w:type="dxa"/>
          </w:tcPr>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Thông tư liên tịch này được ban hành căn cứ Nghị quyết số 90/CP ngày 21/8/1997 của Chính phủ về phương hướng và chủ trương xã hội hóa các hoạt động giáo dục, y tế, văn hóa; Nghị định số 73/1999/NĐ-CP ngày 19/8/1999 của Chính phủ về chính sách xã hội hóa đối với các hoạt động trong lĩnh vực giáo dục, y tế, văn hóa, thể thao.</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Chính phủ đã ban hành Nghị định số 53/2006/NĐ-CP ngày 25/5/2006 về chính sách khuyến khích phát triển các cơ sở cung ứng dịch vụ ngoài công lập, thay thế Nghị định số 73/1999/NĐ-CP; các cơ sở ngoài công lập được thành lập theo Nghị định số 73/1999/NĐ-CP ngày 19/8/1999 của Chính phủ phải đăng ký với cơ quan cấp phép hoạt động và cơ quan thuế để tiếp tục được hưởng các chính sách ưu đãi quy định tại Nghị định số 53/2006/NĐ-CP. Bộ Tài chính đã ban hành Thông tư số 91/2006/TT-BTC ngày 02/10/2006 hướng dẫn Nghị định số 53/2006/NĐ-CP.</w:t>
            </w:r>
          </w:p>
          <w:p w:rsidR="00862E59" w:rsidRPr="00225079" w:rsidRDefault="00862E59" w:rsidP="00B74BEE">
            <w:pPr>
              <w:spacing w:before="60" w:after="60"/>
              <w:jc w:val="both"/>
              <w:rPr>
                <w:rFonts w:eastAsia="Times New Roman" w:cs="Times New Roman"/>
                <w:sz w:val="24"/>
                <w:szCs w:val="24"/>
              </w:rPr>
            </w:pPr>
            <w:r w:rsidRPr="00225079">
              <w:rPr>
                <w:rFonts w:eastAsia="Times New Roman" w:cs="Times New Roman"/>
                <w:sz w:val="24"/>
                <w:szCs w:val="24"/>
              </w:rPr>
              <w:t>Do đó, các căn cứ ban hành của Thông tư liên tịch số 32/2000/TTLTBTC-BVHTT đã hết hiệu lực thi hành; không còn phù hợp và cần được bãi bỏ.</w:t>
            </w:r>
          </w:p>
        </w:tc>
        <w:tc>
          <w:tcPr>
            <w:tcW w:w="1418"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 xml:space="preserve">Hành </w:t>
            </w:r>
            <w:r w:rsidRPr="00225079">
              <w:rPr>
                <w:rFonts w:cs="Times New Roman"/>
                <w:sz w:val="24"/>
                <w:szCs w:val="24"/>
              </w:rPr>
              <w:lastRenderedPageBreak/>
              <w:t>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lastRenderedPageBreak/>
              <w:t xml:space="preserve">Thông </w:t>
            </w:r>
            <w:r w:rsidRPr="00225079">
              <w:rPr>
                <w:rFonts w:eastAsia="Times New Roman" w:cs="Times New Roman"/>
                <w:sz w:val="24"/>
                <w:szCs w:val="24"/>
              </w:rPr>
              <w:lastRenderedPageBreak/>
              <w:t>tư liên tịch</w:t>
            </w:r>
          </w:p>
        </w:tc>
        <w:tc>
          <w:tcPr>
            <w:tcW w:w="2409" w:type="dxa"/>
          </w:tcPr>
          <w:p w:rsidR="00862E59" w:rsidRPr="00225079" w:rsidRDefault="00862E59" w:rsidP="00B74BEE">
            <w:pPr>
              <w:spacing w:before="60" w:after="60"/>
              <w:jc w:val="center"/>
              <w:rPr>
                <w:rFonts w:eastAsia="Times New Roman" w:cs="Times New Roman"/>
                <w:sz w:val="24"/>
                <w:szCs w:val="24"/>
              </w:rPr>
            </w:pPr>
            <w:r w:rsidRPr="00225079">
              <w:rPr>
                <w:rFonts w:eastAsia="Times New Roman" w:cs="Times New Roman"/>
                <w:sz w:val="24"/>
                <w:szCs w:val="24"/>
              </w:rPr>
              <w:lastRenderedPageBreak/>
              <w:t>47/2008/TTLT-BTC-</w:t>
            </w:r>
            <w:r w:rsidRPr="00225079">
              <w:rPr>
                <w:rFonts w:eastAsia="Times New Roman" w:cs="Times New Roman"/>
                <w:sz w:val="24"/>
                <w:szCs w:val="24"/>
              </w:rPr>
              <w:lastRenderedPageBreak/>
              <w:t xml:space="preserve">BTNMT ngày </w:t>
            </w:r>
            <w:r>
              <w:rPr>
                <w:rFonts w:eastAsia="Times New Roman" w:cs="Times New Roman"/>
                <w:sz w:val="24"/>
                <w:szCs w:val="24"/>
              </w:rPr>
              <w:t>0</w:t>
            </w:r>
            <w:r w:rsidRPr="00225079">
              <w:rPr>
                <w:rFonts w:eastAsia="Times New Roman" w:cs="Times New Roman"/>
                <w:sz w:val="24"/>
                <w:szCs w:val="24"/>
              </w:rPr>
              <w:t>9/6/2008</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Thông tư liên tịch số </w:t>
            </w:r>
            <w:r w:rsidRPr="00225079">
              <w:rPr>
                <w:rFonts w:cs="Times New Roman"/>
                <w:sz w:val="24"/>
                <w:szCs w:val="24"/>
              </w:rPr>
              <w:lastRenderedPageBreak/>
              <w:t>47/2008/TTLT-BTC-BTNMT ngày 9/6/2008 của Bộ Tài chính và Bộ Tài nguyên và Môi trường hướng dẫn sử dụng kinh phí cho hoạt động kiểm kê diện tích đất đang quản lý, sử dụng của các tổ chức được nhà nước giao đất, cho thuê đất.</w:t>
            </w:r>
          </w:p>
        </w:tc>
        <w:tc>
          <w:tcPr>
            <w:tcW w:w="1417"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Đề nghị bãi </w:t>
            </w:r>
            <w:r w:rsidRPr="00225079">
              <w:rPr>
                <w:rFonts w:cs="Times New Roman"/>
                <w:sz w:val="24"/>
                <w:szCs w:val="24"/>
              </w:rPr>
              <w:lastRenderedPageBreak/>
              <w:t>bỏ</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lastRenderedPageBreak/>
              <w:t xml:space="preserve">Các văn bản viện dẫn trong Thông </w:t>
            </w:r>
            <w:r w:rsidRPr="00225079">
              <w:rPr>
                <w:rFonts w:cs="Times New Roman"/>
                <w:sz w:val="24"/>
                <w:szCs w:val="24"/>
              </w:rPr>
              <w:lastRenderedPageBreak/>
              <w:t>tư liên tịch đều hết hiệu lực.</w:t>
            </w:r>
          </w:p>
          <w:p w:rsidR="00862E59" w:rsidRPr="00225079" w:rsidRDefault="00862E59" w:rsidP="00B74BEE">
            <w:pPr>
              <w:spacing w:before="60" w:after="60"/>
              <w:jc w:val="both"/>
              <w:rPr>
                <w:rFonts w:cs="Times New Roman"/>
                <w:sz w:val="24"/>
                <w:szCs w:val="24"/>
              </w:rPr>
            </w:pPr>
          </w:p>
        </w:tc>
        <w:tc>
          <w:tcPr>
            <w:tcW w:w="1418"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lastRenderedPageBreak/>
              <w:t>BTC/HCSN</w:t>
            </w:r>
          </w:p>
        </w:tc>
        <w:tc>
          <w:tcPr>
            <w:tcW w:w="992" w:type="dxa"/>
          </w:tcPr>
          <w:p w:rsidR="00862E59" w:rsidRPr="00862E59" w:rsidRDefault="00862E59" w:rsidP="00B74BEE">
            <w:pPr>
              <w:jc w:val="center"/>
              <w:rPr>
                <w:rFonts w:cs="Times New Roman"/>
              </w:rPr>
            </w:pPr>
            <w:r w:rsidRPr="00862E59">
              <w:rPr>
                <w:rFonts w:cs="Times New Roman"/>
                <w:sz w:val="24"/>
                <w:szCs w:val="24"/>
              </w:rPr>
              <w:t xml:space="preserve">Dự kiến </w:t>
            </w:r>
            <w:r w:rsidRPr="00862E59">
              <w:rPr>
                <w:rFonts w:cs="Times New Roman"/>
                <w:sz w:val="24"/>
                <w:szCs w:val="24"/>
              </w:rPr>
              <w:lastRenderedPageBreak/>
              <w:t>năm 2024</w:t>
            </w:r>
          </w:p>
        </w:tc>
      </w:tr>
      <w:tr w:rsidR="00862E59" w:rsidRPr="00225079" w:rsidTr="00A9798D">
        <w:tc>
          <w:tcPr>
            <w:tcW w:w="624" w:type="dxa"/>
          </w:tcPr>
          <w:p w:rsidR="00862E59" w:rsidRPr="00225079"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Hành chính sự nghiệp</w:t>
            </w:r>
          </w:p>
        </w:tc>
        <w:tc>
          <w:tcPr>
            <w:tcW w:w="851" w:type="dxa"/>
          </w:tcPr>
          <w:p w:rsidR="00862E59" w:rsidRPr="00225079" w:rsidRDefault="00862E59" w:rsidP="00B74BEE">
            <w:pPr>
              <w:spacing w:before="60" w:after="60"/>
              <w:jc w:val="center"/>
            </w:pPr>
            <w:r w:rsidRPr="00225079">
              <w:rPr>
                <w:rFonts w:eastAsia="Times New Roman" w:cs="Times New Roman"/>
                <w:sz w:val="24"/>
                <w:szCs w:val="24"/>
              </w:rPr>
              <w:t>Thông tư liên tịch</w:t>
            </w:r>
          </w:p>
        </w:tc>
        <w:tc>
          <w:tcPr>
            <w:tcW w:w="2409"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227/2009/TTLT-BTC-BTNMT ngày 27/11/2009</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Thông tư liên tịch số 227/2009/TTLT-BTC-BTNMT ngày 27/11/2009 hướng dẫn sử dụng kinh phí cho hoạt động kiểm kê đất đai và xây dựng bản đồ hiện trạng sử dụng đất năm 2010.</w:t>
            </w:r>
          </w:p>
          <w:p w:rsidR="00862E59" w:rsidRPr="00225079" w:rsidRDefault="00862E59" w:rsidP="00B74BEE">
            <w:pPr>
              <w:spacing w:before="60" w:after="60"/>
              <w:jc w:val="both"/>
              <w:rPr>
                <w:rFonts w:cs="Times New Roman"/>
                <w:sz w:val="24"/>
                <w:szCs w:val="24"/>
              </w:rPr>
            </w:pPr>
          </w:p>
        </w:tc>
        <w:tc>
          <w:tcPr>
            <w:tcW w:w="1417"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Đề nghị bãi bỏ</w:t>
            </w:r>
          </w:p>
        </w:tc>
        <w:tc>
          <w:tcPr>
            <w:tcW w:w="3686" w:type="dxa"/>
          </w:tcPr>
          <w:p w:rsidR="00862E59" w:rsidRPr="00225079" w:rsidRDefault="00862E59" w:rsidP="00B74BEE">
            <w:pPr>
              <w:spacing w:before="60" w:after="60"/>
              <w:jc w:val="both"/>
              <w:rPr>
                <w:rFonts w:cs="Times New Roman"/>
                <w:sz w:val="24"/>
                <w:szCs w:val="24"/>
              </w:rPr>
            </w:pPr>
            <w:r w:rsidRPr="00225079">
              <w:rPr>
                <w:rFonts w:cs="Times New Roman"/>
                <w:sz w:val="24"/>
                <w:szCs w:val="24"/>
              </w:rPr>
              <w:t>Văn bản áp dụng cho một giai đoạn cụ thể, đã hết giai đoạn đó.</w:t>
            </w:r>
          </w:p>
          <w:p w:rsidR="00862E59" w:rsidRPr="00225079" w:rsidRDefault="00862E59" w:rsidP="00B74BEE">
            <w:pPr>
              <w:spacing w:before="60" w:after="60"/>
              <w:jc w:val="both"/>
              <w:rPr>
                <w:rFonts w:cs="Times New Roman"/>
                <w:sz w:val="24"/>
                <w:szCs w:val="24"/>
              </w:rPr>
            </w:pPr>
          </w:p>
        </w:tc>
        <w:tc>
          <w:tcPr>
            <w:tcW w:w="1418" w:type="dxa"/>
          </w:tcPr>
          <w:p w:rsidR="00862E59" w:rsidRPr="00225079" w:rsidRDefault="00862E59" w:rsidP="00B74BEE">
            <w:pPr>
              <w:spacing w:before="60" w:after="60"/>
              <w:jc w:val="center"/>
              <w:rPr>
                <w:rFonts w:cs="Times New Roman"/>
                <w:sz w:val="24"/>
                <w:szCs w:val="24"/>
              </w:rPr>
            </w:pPr>
            <w:r w:rsidRPr="00225079">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cs="Times New Roman"/>
                <w:sz w:val="24"/>
                <w:szCs w:val="24"/>
              </w:rPr>
            </w:pPr>
            <w:r>
              <w:rPr>
                <w:rFonts w:cs="Times New Roman"/>
                <w:sz w:val="24"/>
                <w:szCs w:val="24"/>
              </w:rPr>
              <w:t>50/2012/TTLT-</w:t>
            </w:r>
            <w:r w:rsidRPr="00CE4863">
              <w:rPr>
                <w:rFonts w:cs="Times New Roman"/>
                <w:sz w:val="24"/>
                <w:szCs w:val="24"/>
              </w:rPr>
              <w:t>BTC- BTNMT ngày 30/3/2012</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w:t>
            </w:r>
            <w:r>
              <w:rPr>
                <w:rFonts w:cs="Times New Roman"/>
                <w:sz w:val="24"/>
                <w:szCs w:val="24"/>
              </w:rPr>
              <w:t xml:space="preserve"> 50/2012/TTLT-BTC-</w:t>
            </w:r>
            <w:r w:rsidRPr="00CE4863">
              <w:rPr>
                <w:rFonts w:cs="Times New Roman"/>
                <w:sz w:val="24"/>
                <w:szCs w:val="24"/>
              </w:rPr>
              <w:t>BTNMT ngày 30/3/2012 về chế độ tài chính cho hoạt động lập báo cáo đánh giá môi trường chiến lược.</w:t>
            </w:r>
          </w:p>
          <w:p w:rsidR="00862E59" w:rsidRPr="00CE4863" w:rsidRDefault="00862E59" w:rsidP="00B74BEE">
            <w:pPr>
              <w:spacing w:before="60" w:after="60"/>
              <w:jc w:val="both"/>
              <w:rPr>
                <w:rFonts w:cs="Times New Roman"/>
                <w:sz w:val="24"/>
                <w:szCs w:val="24"/>
              </w:rPr>
            </w:pP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 50/2012/TTLT- BTC- BTNMT có phạm vi điều chỉnh là: “Thông tư này hướng dẫn cơ chế tài chính và mức kinh phí lập báo cáo đánh giá môi trường chiến lược của các chiến lược, quy hoạch, kế hoạch quy định tại Điều 3 Nghị định số 29/2011/NĐ-CP ngày 18 tháng 4 năm 2011 của Chính phủ quy định về đánh giá môi trường chiến lược, đánh giá tác động môi trường, cam kết bảo vệ môi trường”. Hiện nay, Nghị định số 29/2011/NĐ-CP đã hết hiệu lực, do đó Thông tư liên tịch này cần được bãi bỏ.</w:t>
            </w: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112/2011/TTLT-BTC-BKHCN ngày 02/8/2011</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 xml:space="preserve">Thông tư liên tịch số 112/2011/TTLT-BTC-BKHCN ngày 02/8/2011 của Bộ Tài chính và Bộ Khoa học và Công nghệ hướng dẫn quản lý tài chính đối với Chương </w:t>
            </w:r>
            <w:r w:rsidRPr="00CE4863">
              <w:rPr>
                <w:rFonts w:cs="Times New Roman"/>
                <w:sz w:val="24"/>
                <w:szCs w:val="24"/>
              </w:rPr>
              <w:lastRenderedPageBreak/>
              <w:t>trình hỗ trợ phát triển tài sản trí tuệ giai đoạn 2011-2015.</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lastRenderedPageBreak/>
              <w:t>Đề nghị bãi bỏ</w:t>
            </w:r>
          </w:p>
        </w:tc>
        <w:tc>
          <w:tcPr>
            <w:tcW w:w="3686" w:type="dxa"/>
          </w:tcPr>
          <w:p w:rsidR="00862E59" w:rsidRDefault="00862E59" w:rsidP="00B74BEE">
            <w:pPr>
              <w:spacing w:before="60" w:after="60"/>
              <w:jc w:val="both"/>
              <w:rPr>
                <w:rFonts w:cs="Times New Roman"/>
                <w:sz w:val="24"/>
                <w:szCs w:val="24"/>
              </w:rPr>
            </w:pPr>
            <w:r>
              <w:rPr>
                <w:rFonts w:cs="Times New Roman"/>
                <w:sz w:val="24"/>
                <w:szCs w:val="24"/>
              </w:rPr>
              <w:t>Đã hết giai đoạn áp dụng, không còn phù hợp trên thực tiễn, chưa có văn bản bãi bỏ</w:t>
            </w:r>
          </w:p>
          <w:p w:rsidR="00862E59" w:rsidRPr="00CE4863" w:rsidRDefault="00862E59" w:rsidP="00B74BEE">
            <w:pPr>
              <w:spacing w:before="60" w:after="60"/>
              <w:jc w:val="both"/>
              <w:rPr>
                <w:rFonts w:cs="Times New Roman"/>
                <w:sz w:val="24"/>
                <w:szCs w:val="24"/>
              </w:rPr>
            </w:pP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CE4863" w:rsidTr="00A9798D">
        <w:tc>
          <w:tcPr>
            <w:tcW w:w="624" w:type="dxa"/>
          </w:tcPr>
          <w:p w:rsidR="00862E59" w:rsidRPr="00CE4863" w:rsidRDefault="00862E59" w:rsidP="00B74BEE">
            <w:pPr>
              <w:pStyle w:val="ListParagraph"/>
              <w:numPr>
                <w:ilvl w:val="0"/>
                <w:numId w:val="23"/>
              </w:numPr>
              <w:spacing w:before="60" w:after="60"/>
              <w:jc w:val="center"/>
              <w:rPr>
                <w:rFonts w:cs="Times New Roman"/>
                <w:sz w:val="24"/>
                <w:szCs w:val="24"/>
                <w:lang w:val="vi-VN"/>
              </w:rPr>
            </w:pPr>
          </w:p>
        </w:tc>
        <w:tc>
          <w:tcPr>
            <w:tcW w:w="851"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Hành chính sự nghiệp</w:t>
            </w:r>
          </w:p>
        </w:tc>
        <w:tc>
          <w:tcPr>
            <w:tcW w:w="851" w:type="dxa"/>
          </w:tcPr>
          <w:p w:rsidR="00862E59" w:rsidRPr="00CE4863" w:rsidRDefault="00862E59" w:rsidP="00B74BEE">
            <w:pPr>
              <w:spacing w:before="60" w:after="60"/>
              <w:jc w:val="center"/>
            </w:pPr>
            <w:r w:rsidRPr="00CE4863">
              <w:rPr>
                <w:rFonts w:eastAsia="Times New Roman" w:cs="Times New Roman"/>
                <w:sz w:val="24"/>
                <w:szCs w:val="24"/>
              </w:rPr>
              <w:t>Thông tư liên tịch</w:t>
            </w:r>
          </w:p>
        </w:tc>
        <w:tc>
          <w:tcPr>
            <w:tcW w:w="2409" w:type="dxa"/>
          </w:tcPr>
          <w:p w:rsidR="00862E59" w:rsidRPr="00CE4863" w:rsidRDefault="00862E59" w:rsidP="00B74BEE">
            <w:pPr>
              <w:spacing w:before="60" w:after="60"/>
              <w:jc w:val="center"/>
              <w:rPr>
                <w:rFonts w:eastAsia="Times New Roman" w:cs="Times New Roman"/>
                <w:sz w:val="24"/>
                <w:szCs w:val="24"/>
              </w:rPr>
            </w:pPr>
            <w:r w:rsidRPr="00CE4863">
              <w:rPr>
                <w:rFonts w:eastAsia="Times New Roman" w:cs="Times New Roman"/>
                <w:sz w:val="24"/>
                <w:szCs w:val="24"/>
              </w:rPr>
              <w:t>134/1999/TTLT/BTC-TCĐC ngày 18/11/1999</w:t>
            </w:r>
          </w:p>
        </w:tc>
        <w:tc>
          <w:tcPr>
            <w:tcW w:w="3686"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Thông tư liên tịch số 134/1999/TTLT/BTC-TCĐC ngày 18/11/1999 của Bộ Tài chính và Tổng cục Địa chính hướng dẫn chế độ quản lý, cấp phát và thanh quyết toán kinh phí Tổng kiểm kê đất đai và xây dựng bản đồ hiện trạng sử dụng đất đến năm 2000.</w:t>
            </w:r>
          </w:p>
        </w:tc>
        <w:tc>
          <w:tcPr>
            <w:tcW w:w="1417" w:type="dxa"/>
          </w:tcPr>
          <w:p w:rsidR="00862E59" w:rsidRPr="00CE4863" w:rsidRDefault="00862E59" w:rsidP="00B74BEE">
            <w:pPr>
              <w:spacing w:before="60" w:after="60"/>
              <w:jc w:val="both"/>
              <w:rPr>
                <w:rFonts w:cs="Times New Roman"/>
                <w:sz w:val="24"/>
                <w:szCs w:val="24"/>
              </w:rPr>
            </w:pPr>
            <w:r w:rsidRPr="00CE4863">
              <w:rPr>
                <w:rFonts w:cs="Times New Roman"/>
                <w:sz w:val="24"/>
                <w:szCs w:val="24"/>
              </w:rPr>
              <w:t>Đề nghị bãi bỏ</w:t>
            </w:r>
          </w:p>
        </w:tc>
        <w:tc>
          <w:tcPr>
            <w:tcW w:w="3686" w:type="dxa"/>
          </w:tcPr>
          <w:p w:rsidR="00862E59" w:rsidRPr="00CE4863" w:rsidRDefault="00862E59" w:rsidP="00B74BEE">
            <w:pPr>
              <w:spacing w:before="60" w:after="60"/>
              <w:jc w:val="both"/>
              <w:rPr>
                <w:rFonts w:cs="Times New Roman"/>
                <w:sz w:val="24"/>
                <w:szCs w:val="24"/>
              </w:rPr>
            </w:pPr>
            <w:r>
              <w:rPr>
                <w:rFonts w:cs="Times New Roman"/>
                <w:sz w:val="24"/>
                <w:szCs w:val="24"/>
              </w:rPr>
              <w:t>Đã hết thời gian áp dụng,</w:t>
            </w:r>
            <w:r w:rsidRPr="00CE4863">
              <w:rPr>
                <w:rFonts w:cs="Times New Roman"/>
                <w:sz w:val="24"/>
                <w:szCs w:val="24"/>
              </w:rPr>
              <w:t xml:space="preserve"> không còn phù hợ</w:t>
            </w:r>
            <w:r>
              <w:rPr>
                <w:rFonts w:cs="Times New Roman"/>
                <w:sz w:val="24"/>
                <w:szCs w:val="24"/>
              </w:rPr>
              <w:t>p, chưa có văn bản bãi bỏ</w:t>
            </w:r>
          </w:p>
          <w:p w:rsidR="00862E59" w:rsidRPr="00CE4863" w:rsidRDefault="00862E59" w:rsidP="00B74BEE">
            <w:pPr>
              <w:spacing w:before="60" w:after="60"/>
              <w:jc w:val="both"/>
              <w:rPr>
                <w:rFonts w:cs="Times New Roman"/>
                <w:sz w:val="24"/>
                <w:szCs w:val="24"/>
              </w:rPr>
            </w:pPr>
          </w:p>
        </w:tc>
        <w:tc>
          <w:tcPr>
            <w:tcW w:w="1418" w:type="dxa"/>
          </w:tcPr>
          <w:p w:rsidR="00862E59" w:rsidRPr="00CE4863" w:rsidRDefault="00862E59" w:rsidP="00B74BEE">
            <w:pPr>
              <w:spacing w:before="60" w:after="60"/>
              <w:jc w:val="center"/>
              <w:rPr>
                <w:rFonts w:cs="Times New Roman"/>
                <w:sz w:val="24"/>
                <w:szCs w:val="24"/>
              </w:rPr>
            </w:pPr>
            <w:r w:rsidRPr="00CE4863">
              <w:rPr>
                <w:rFonts w:cs="Times New Roman"/>
                <w:sz w:val="24"/>
                <w:szCs w:val="24"/>
              </w:rPr>
              <w:t>BTC/HCSN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47934" w:rsidTr="00A9798D">
        <w:tc>
          <w:tcPr>
            <w:tcW w:w="624" w:type="dxa"/>
          </w:tcPr>
          <w:p w:rsidR="00862E59" w:rsidRPr="00E47934" w:rsidRDefault="00862E59" w:rsidP="00B74BEE">
            <w:pPr>
              <w:pStyle w:val="ListParagraph"/>
              <w:numPr>
                <w:ilvl w:val="0"/>
                <w:numId w:val="23"/>
              </w:numPr>
              <w:spacing w:after="60"/>
              <w:jc w:val="both"/>
              <w:rPr>
                <w:rFonts w:cs="Times New Roman"/>
                <w:sz w:val="24"/>
                <w:szCs w:val="24"/>
                <w:lang w:val="vi-VN"/>
              </w:rPr>
            </w:pPr>
          </w:p>
        </w:tc>
        <w:tc>
          <w:tcPr>
            <w:tcW w:w="851" w:type="dxa"/>
          </w:tcPr>
          <w:p w:rsidR="00862E59" w:rsidRPr="00E47934" w:rsidRDefault="00862E59" w:rsidP="00B74BEE">
            <w:pPr>
              <w:spacing w:after="60"/>
              <w:jc w:val="center"/>
              <w:rPr>
                <w:rFonts w:cs="Times New Roman"/>
                <w:sz w:val="24"/>
                <w:szCs w:val="24"/>
              </w:rPr>
            </w:pPr>
            <w:r w:rsidRPr="00E47934">
              <w:rPr>
                <w:rFonts w:cs="Times New Roman"/>
                <w:sz w:val="24"/>
                <w:szCs w:val="24"/>
              </w:rPr>
              <w:t>Giá</w:t>
            </w:r>
          </w:p>
        </w:tc>
        <w:tc>
          <w:tcPr>
            <w:tcW w:w="851" w:type="dxa"/>
          </w:tcPr>
          <w:p w:rsidR="00862E59" w:rsidRPr="00E47934" w:rsidRDefault="00862E59" w:rsidP="00B74BEE">
            <w:pPr>
              <w:spacing w:after="60"/>
              <w:jc w:val="center"/>
            </w:pPr>
            <w:r w:rsidRPr="00E47934">
              <w:rPr>
                <w:rFonts w:eastAsia="Times New Roman" w:cs="Times New Roman"/>
                <w:sz w:val="24"/>
                <w:szCs w:val="24"/>
              </w:rPr>
              <w:t>Thông tư liên tịch</w:t>
            </w:r>
          </w:p>
        </w:tc>
        <w:tc>
          <w:tcPr>
            <w:tcW w:w="2409"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bCs/>
                <w:iCs/>
                <w:sz w:val="24"/>
                <w:szCs w:val="24"/>
              </w:rPr>
              <w:t>103/2001/TTLT-BTC-BVGCP-BVHTT-BNG</w:t>
            </w:r>
            <w:r>
              <w:rPr>
                <w:rFonts w:eastAsia="Times New Roman" w:cs="Times New Roman"/>
                <w:bCs/>
                <w:iCs/>
                <w:sz w:val="24"/>
                <w:szCs w:val="24"/>
              </w:rPr>
              <w:t xml:space="preserve"> ngày 24/12/2001</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 xml:space="preserve">Hướng dẫn trợ giá đối với cước vận chuyển ấn phẩm văn hóa, giá vé máy bay của các đoàn nghệ thuật đi biểu diễn phục vụ cộng đồng người Việt Nam ở nước ngoài </w:t>
            </w:r>
          </w:p>
        </w:tc>
        <w:tc>
          <w:tcPr>
            <w:tcW w:w="1417"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Đề nghị bãi bỏ</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Ngày 21/12/2023, Thủ tướng Chính phủ đã ban hành Quyết định số 32/2023/QĐ-TTg bãi bỏ toàn bộ hoặc một phần một số văn bản quy phạm pháp luật của Thủ tướng Chính phủ, trong đó đã bãi bỏ một phần Quyết định số 210/1999/QĐ-TTg ngày 27/10/1999 của Thủ tướng Chính phủ, Quyết định số 114/2001/QĐ-TTg gày 31/7/2001 của Thủ tướng Chính phủ sửa đổi, bổ sung một số điều của Quyết định số 210/1999/QĐ-TTg. Đây là 02 Quyết định làm căn cứ ban hành Thông tư liên tịch số 103/2001/TTLT-BTC-BVGCP-BVHTT-BNG nêu trên.</w:t>
            </w:r>
          </w:p>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Vì vậy, cần ban hành văn bản bãi bỏ/thay thế Thông tư liên tịch này.</w:t>
            </w:r>
          </w:p>
        </w:tc>
        <w:tc>
          <w:tcPr>
            <w:tcW w:w="1418"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BTC/HCSN, QLG</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47934" w:rsidTr="00A9798D">
        <w:tc>
          <w:tcPr>
            <w:tcW w:w="624" w:type="dxa"/>
          </w:tcPr>
          <w:p w:rsidR="00862E59" w:rsidRPr="00E47934" w:rsidRDefault="00862E59" w:rsidP="00B74BEE">
            <w:pPr>
              <w:pStyle w:val="ListParagraph"/>
              <w:numPr>
                <w:ilvl w:val="0"/>
                <w:numId w:val="23"/>
              </w:numPr>
              <w:spacing w:after="60"/>
              <w:jc w:val="both"/>
              <w:rPr>
                <w:rFonts w:cs="Times New Roman"/>
                <w:sz w:val="24"/>
                <w:szCs w:val="24"/>
                <w:lang w:val="vi-VN"/>
              </w:rPr>
            </w:pPr>
          </w:p>
        </w:tc>
        <w:tc>
          <w:tcPr>
            <w:tcW w:w="851" w:type="dxa"/>
          </w:tcPr>
          <w:p w:rsidR="00862E59" w:rsidRPr="00E47934" w:rsidRDefault="00862E59" w:rsidP="00B74BEE">
            <w:pPr>
              <w:spacing w:after="60"/>
              <w:jc w:val="center"/>
              <w:rPr>
                <w:rFonts w:cs="Times New Roman"/>
                <w:sz w:val="24"/>
                <w:szCs w:val="24"/>
              </w:rPr>
            </w:pPr>
            <w:r w:rsidRPr="00E47934">
              <w:rPr>
                <w:rFonts w:cs="Times New Roman"/>
                <w:sz w:val="24"/>
                <w:szCs w:val="24"/>
              </w:rPr>
              <w:t>Quản lý nợ</w:t>
            </w:r>
          </w:p>
        </w:tc>
        <w:tc>
          <w:tcPr>
            <w:tcW w:w="851"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Thông tư liên tịch</w:t>
            </w:r>
          </w:p>
        </w:tc>
        <w:tc>
          <w:tcPr>
            <w:tcW w:w="2409"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127/2010/TTLT-BTC-BYT ngày 24/8/2010</w:t>
            </w:r>
          </w:p>
          <w:p w:rsidR="00862E59" w:rsidRPr="00E47934" w:rsidRDefault="00862E59" w:rsidP="00B74BEE">
            <w:pPr>
              <w:spacing w:after="60"/>
              <w:jc w:val="center"/>
              <w:rPr>
                <w:rFonts w:eastAsia="Times New Roman" w:cs="Times New Roman"/>
                <w:sz w:val="24"/>
                <w:szCs w:val="24"/>
              </w:rPr>
            </w:pPr>
          </w:p>
          <w:p w:rsidR="00862E59" w:rsidRPr="00E47934" w:rsidRDefault="00862E59" w:rsidP="00B74BEE">
            <w:pPr>
              <w:spacing w:after="60"/>
              <w:jc w:val="center"/>
              <w:rPr>
                <w:rFonts w:eastAsia="Times New Roman" w:cs="Times New Roman"/>
                <w:sz w:val="24"/>
                <w:szCs w:val="24"/>
              </w:rPr>
            </w:pP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 xml:space="preserve">Sửa đổi, bổ sung một số điểm của Thông tư liên tịch số 88/2005/TTLT-BTC-BYT ngày 11/10/2005 của Liên Bộ Tài chính - Bộ Y tế hướng dẫn cơ chế quản lý tài chính và một số định mức chi tiêu </w:t>
            </w:r>
            <w:r w:rsidRPr="00E47934">
              <w:rPr>
                <w:rFonts w:eastAsia="Times New Roman" w:cs="Times New Roman"/>
                <w:sz w:val="24"/>
                <w:szCs w:val="24"/>
              </w:rPr>
              <w:lastRenderedPageBreak/>
              <w:t>của dự án "Phòng chống HIV/AIDS ở Việt Nam" do Ngân hàng Thế giới viện trợ không hoàn lại</w:t>
            </w:r>
          </w:p>
        </w:tc>
        <w:tc>
          <w:tcPr>
            <w:tcW w:w="1417"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lastRenderedPageBreak/>
              <w:t>Đề nghị bãi bỏ</w:t>
            </w:r>
          </w:p>
        </w:tc>
        <w:tc>
          <w:tcPr>
            <w:tcW w:w="3686" w:type="dxa"/>
          </w:tcPr>
          <w:p w:rsidR="00862E59" w:rsidRPr="00E47934" w:rsidRDefault="00862E59" w:rsidP="00B74BEE">
            <w:pPr>
              <w:spacing w:after="60"/>
              <w:jc w:val="both"/>
              <w:rPr>
                <w:rFonts w:eastAsia="Times New Roman" w:cs="Times New Roman"/>
                <w:sz w:val="24"/>
                <w:szCs w:val="24"/>
              </w:rPr>
            </w:pPr>
            <w:r w:rsidRPr="00E47934">
              <w:rPr>
                <w:rFonts w:eastAsia="Times New Roman" w:cs="Times New Roman"/>
                <w:sz w:val="24"/>
                <w:szCs w:val="24"/>
              </w:rPr>
              <w:t>Thông tư này áp dụng cho dự án “Phòng, chống HIV/AIDS ở Việt Nam do Ngân hàng Thế giới viện trợ đã kết thúc thời gian thực hiện”</w:t>
            </w:r>
          </w:p>
        </w:tc>
        <w:tc>
          <w:tcPr>
            <w:tcW w:w="1418" w:type="dxa"/>
          </w:tcPr>
          <w:p w:rsidR="00862E59" w:rsidRPr="00E47934" w:rsidRDefault="00862E59" w:rsidP="00B74BEE">
            <w:pPr>
              <w:spacing w:after="60"/>
              <w:jc w:val="center"/>
              <w:rPr>
                <w:rFonts w:eastAsia="Times New Roman" w:cs="Times New Roman"/>
                <w:sz w:val="24"/>
                <w:szCs w:val="24"/>
              </w:rPr>
            </w:pPr>
            <w:r w:rsidRPr="00E47934">
              <w:rPr>
                <w:rFonts w:eastAsia="Times New Roman" w:cs="Times New Roman"/>
                <w:sz w:val="24"/>
                <w:szCs w:val="24"/>
              </w:rPr>
              <w:t>BTC/QLN</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r w:rsidR="00862E59" w:rsidRPr="00ED427A" w:rsidTr="00A9798D">
        <w:tc>
          <w:tcPr>
            <w:tcW w:w="624" w:type="dxa"/>
          </w:tcPr>
          <w:p w:rsidR="00862E59" w:rsidRPr="00A40144" w:rsidRDefault="00862E59" w:rsidP="00B74BEE">
            <w:pPr>
              <w:pStyle w:val="ListParagraph"/>
              <w:numPr>
                <w:ilvl w:val="0"/>
                <w:numId w:val="23"/>
              </w:numPr>
              <w:spacing w:before="60" w:after="60"/>
              <w:jc w:val="both"/>
              <w:rPr>
                <w:rFonts w:cs="Times New Roman"/>
                <w:sz w:val="24"/>
                <w:szCs w:val="24"/>
                <w:lang w:val="vi-VN"/>
              </w:rPr>
            </w:pPr>
          </w:p>
        </w:tc>
        <w:tc>
          <w:tcPr>
            <w:tcW w:w="851"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Quản lý công sản</w:t>
            </w:r>
          </w:p>
        </w:tc>
        <w:tc>
          <w:tcPr>
            <w:tcW w:w="851" w:type="dxa"/>
          </w:tcPr>
          <w:p w:rsidR="00862E59" w:rsidRPr="00A40144" w:rsidRDefault="00862E59" w:rsidP="00B74BEE">
            <w:pPr>
              <w:spacing w:before="60" w:after="60"/>
              <w:jc w:val="center"/>
            </w:pPr>
            <w:r w:rsidRPr="00A40144">
              <w:rPr>
                <w:rFonts w:eastAsia="Times New Roman" w:cs="Times New Roman"/>
                <w:sz w:val="24"/>
                <w:szCs w:val="24"/>
              </w:rPr>
              <w:t>Thông tư liên tịch</w:t>
            </w:r>
          </w:p>
        </w:tc>
        <w:tc>
          <w:tcPr>
            <w:tcW w:w="2409"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88/2016/TTLT-BTC-BTNMT ngày 22/6/2016</w:t>
            </w:r>
          </w:p>
        </w:tc>
        <w:tc>
          <w:tcPr>
            <w:tcW w:w="3686" w:type="dxa"/>
          </w:tcPr>
          <w:p w:rsidR="00862E59" w:rsidRPr="00A40144" w:rsidRDefault="00862E59" w:rsidP="00B74BEE">
            <w:pPr>
              <w:pStyle w:val="Default"/>
              <w:spacing w:before="60" w:after="60"/>
              <w:jc w:val="both"/>
              <w:rPr>
                <w:color w:val="auto"/>
              </w:rPr>
            </w:pPr>
            <w:r w:rsidRPr="00A40144">
              <w:rPr>
                <w:color w:val="auto"/>
              </w:rPr>
              <w:t>Thông tư liên tịch số 88/2016/TTLT-BTC-BTNMT ngày 22/6/2016 quy định về hồ sơ và trình tự thủ tục tiếp nhận, luân chuyển hồ sơ xác định nghĩa vụ tài chính về đất đai của người sử dụng đất</w:t>
            </w:r>
          </w:p>
        </w:tc>
        <w:tc>
          <w:tcPr>
            <w:tcW w:w="1417" w:type="dxa"/>
          </w:tcPr>
          <w:p w:rsidR="00862E59" w:rsidRPr="00A40144" w:rsidRDefault="00862E59" w:rsidP="00B74BEE">
            <w:pPr>
              <w:spacing w:before="60" w:after="60"/>
              <w:jc w:val="both"/>
              <w:rPr>
                <w:rFonts w:cs="Times New Roman"/>
                <w:sz w:val="24"/>
                <w:szCs w:val="24"/>
              </w:rPr>
            </w:pPr>
            <w:r w:rsidRPr="00A40144">
              <w:rPr>
                <w:rFonts w:cs="Times New Roman"/>
                <w:sz w:val="24"/>
                <w:szCs w:val="24"/>
              </w:rPr>
              <w:t>Đề nghị thay thế/bãi bỏ</w:t>
            </w:r>
          </w:p>
        </w:tc>
        <w:tc>
          <w:tcPr>
            <w:tcW w:w="3686" w:type="dxa"/>
          </w:tcPr>
          <w:p w:rsidR="00862E59" w:rsidRPr="00A40144" w:rsidRDefault="00862E59" w:rsidP="00B74BEE">
            <w:pPr>
              <w:pStyle w:val="Default"/>
              <w:spacing w:before="60" w:after="60"/>
              <w:jc w:val="both"/>
              <w:rPr>
                <w:color w:val="auto"/>
              </w:rPr>
            </w:pPr>
            <w:r w:rsidRPr="00A40144">
              <w:rPr>
                <w:color w:val="auto"/>
              </w:rPr>
              <w:t>Khắc phục những bất cập, hạn chế khi thi hành.</w:t>
            </w:r>
          </w:p>
          <w:p w:rsidR="00862E59" w:rsidRPr="00A40144" w:rsidRDefault="00862E59" w:rsidP="00B74BEE">
            <w:pPr>
              <w:spacing w:before="60" w:after="60"/>
              <w:jc w:val="both"/>
              <w:rPr>
                <w:rFonts w:cs="Times New Roman"/>
                <w:sz w:val="24"/>
                <w:szCs w:val="24"/>
              </w:rPr>
            </w:pPr>
          </w:p>
        </w:tc>
        <w:tc>
          <w:tcPr>
            <w:tcW w:w="1418" w:type="dxa"/>
          </w:tcPr>
          <w:p w:rsidR="00862E59" w:rsidRPr="00A40144" w:rsidRDefault="00862E59" w:rsidP="00B74BEE">
            <w:pPr>
              <w:spacing w:before="60" w:after="60"/>
              <w:jc w:val="center"/>
              <w:rPr>
                <w:rFonts w:cs="Times New Roman"/>
                <w:sz w:val="24"/>
                <w:szCs w:val="24"/>
              </w:rPr>
            </w:pPr>
            <w:r w:rsidRPr="00A40144">
              <w:rPr>
                <w:rFonts w:cs="Times New Roman"/>
                <w:sz w:val="24"/>
                <w:szCs w:val="24"/>
              </w:rPr>
              <w:t>BTC/QLCS</w:t>
            </w:r>
          </w:p>
        </w:tc>
        <w:tc>
          <w:tcPr>
            <w:tcW w:w="992" w:type="dxa"/>
          </w:tcPr>
          <w:p w:rsidR="00862E59" w:rsidRPr="00862E59" w:rsidRDefault="00862E59" w:rsidP="00B74BEE">
            <w:pPr>
              <w:jc w:val="center"/>
              <w:rPr>
                <w:rFonts w:cs="Times New Roman"/>
              </w:rPr>
            </w:pPr>
            <w:r w:rsidRPr="00862E59">
              <w:rPr>
                <w:rFonts w:cs="Times New Roman"/>
                <w:sz w:val="24"/>
                <w:szCs w:val="24"/>
              </w:rPr>
              <w:t>Dự kiến năm 2024</w:t>
            </w:r>
          </w:p>
        </w:tc>
      </w:tr>
    </w:tbl>
    <w:p w:rsidR="009154BD" w:rsidRPr="00ED427A" w:rsidRDefault="009154BD" w:rsidP="009154BD">
      <w:pPr>
        <w:spacing w:after="60"/>
        <w:rPr>
          <w:rFonts w:cs="Times New Roman"/>
          <w:sz w:val="24"/>
          <w:szCs w:val="24"/>
        </w:rPr>
      </w:pPr>
    </w:p>
    <w:p w:rsidR="009154BD" w:rsidRPr="00ED427A" w:rsidRDefault="009154BD" w:rsidP="009154BD">
      <w:pPr>
        <w:rPr>
          <w:rFonts w:cs="Times New Roman"/>
          <w:sz w:val="24"/>
          <w:szCs w:val="24"/>
        </w:rPr>
      </w:pPr>
    </w:p>
    <w:p w:rsidR="004440E2" w:rsidRPr="00A708C4" w:rsidRDefault="004440E2">
      <w:pPr>
        <w:rPr>
          <w:lang w:val="en-US"/>
        </w:rPr>
      </w:pPr>
    </w:p>
    <w:sectPr w:rsidR="004440E2" w:rsidRPr="00A708C4" w:rsidSect="00A40144">
      <w:headerReference w:type="default" r:id="rId9"/>
      <w:pgSz w:w="16840" w:h="11907" w:orient="landscape" w:code="9"/>
      <w:pgMar w:top="567" w:right="567" w:bottom="567"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5C" w:rsidRDefault="0096065C" w:rsidP="00107726">
      <w:pPr>
        <w:spacing w:before="0" w:after="0"/>
      </w:pPr>
      <w:r>
        <w:separator/>
      </w:r>
    </w:p>
  </w:endnote>
  <w:endnote w:type="continuationSeparator" w:id="0">
    <w:p w:rsidR="0096065C" w:rsidRDefault="0096065C" w:rsidP="0010772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5C" w:rsidRDefault="0096065C" w:rsidP="00107726">
      <w:pPr>
        <w:spacing w:before="0" w:after="0"/>
      </w:pPr>
      <w:r>
        <w:separator/>
      </w:r>
    </w:p>
  </w:footnote>
  <w:footnote w:type="continuationSeparator" w:id="0">
    <w:p w:rsidR="0096065C" w:rsidRDefault="0096065C" w:rsidP="0010772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3095"/>
      <w:docPartObj>
        <w:docPartGallery w:val="Page Numbers (Top of Page)"/>
        <w:docPartUnique/>
      </w:docPartObj>
    </w:sdtPr>
    <w:sdtContent>
      <w:p w:rsidR="00A40144" w:rsidRDefault="00760EC6">
        <w:pPr>
          <w:pStyle w:val="Header"/>
          <w:jc w:val="center"/>
        </w:pPr>
        <w:r w:rsidRPr="008704BD">
          <w:rPr>
            <w:sz w:val="26"/>
            <w:szCs w:val="26"/>
          </w:rPr>
          <w:fldChar w:fldCharType="begin"/>
        </w:r>
        <w:r w:rsidR="00A40144" w:rsidRPr="008704BD">
          <w:rPr>
            <w:sz w:val="26"/>
            <w:szCs w:val="26"/>
          </w:rPr>
          <w:instrText xml:space="preserve"> PAGE   \* MERGEFORMAT </w:instrText>
        </w:r>
        <w:r w:rsidRPr="008704BD">
          <w:rPr>
            <w:sz w:val="26"/>
            <w:szCs w:val="26"/>
          </w:rPr>
          <w:fldChar w:fldCharType="separate"/>
        </w:r>
        <w:r w:rsidR="00E90015">
          <w:rPr>
            <w:noProof/>
            <w:sz w:val="26"/>
            <w:szCs w:val="26"/>
          </w:rPr>
          <w:t>17</w:t>
        </w:r>
        <w:r w:rsidRPr="008704BD">
          <w:rPr>
            <w:sz w:val="26"/>
            <w:szCs w:val="26"/>
          </w:rPr>
          <w:fldChar w:fldCharType="end"/>
        </w:r>
      </w:p>
    </w:sdtContent>
  </w:sdt>
  <w:p w:rsidR="00A40144" w:rsidRDefault="00A40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4EE"/>
    <w:multiLevelType w:val="hybridMultilevel"/>
    <w:tmpl w:val="22FA4C1A"/>
    <w:lvl w:ilvl="0" w:tplc="95AECD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D2E7C"/>
    <w:multiLevelType w:val="hybridMultilevel"/>
    <w:tmpl w:val="2ED64916"/>
    <w:lvl w:ilvl="0" w:tplc="DDACA56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622BF"/>
    <w:multiLevelType w:val="hybridMultilevel"/>
    <w:tmpl w:val="7D745AE4"/>
    <w:lvl w:ilvl="0" w:tplc="90F6BDF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46CFF"/>
    <w:multiLevelType w:val="hybridMultilevel"/>
    <w:tmpl w:val="A5C636A8"/>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1AD7"/>
    <w:multiLevelType w:val="hybridMultilevel"/>
    <w:tmpl w:val="9FAE64FC"/>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0774B"/>
    <w:multiLevelType w:val="hybridMultilevel"/>
    <w:tmpl w:val="8E3883AE"/>
    <w:lvl w:ilvl="0" w:tplc="AF76EE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B0464"/>
    <w:multiLevelType w:val="hybridMultilevel"/>
    <w:tmpl w:val="5226F6B2"/>
    <w:lvl w:ilvl="0" w:tplc="77CC5E4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76BAF"/>
    <w:multiLevelType w:val="hybridMultilevel"/>
    <w:tmpl w:val="E75C6BB8"/>
    <w:lvl w:ilvl="0" w:tplc="93B4ECF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B699E"/>
    <w:multiLevelType w:val="hybridMultilevel"/>
    <w:tmpl w:val="324280E6"/>
    <w:lvl w:ilvl="0" w:tplc="187E0C7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B548F"/>
    <w:multiLevelType w:val="hybridMultilevel"/>
    <w:tmpl w:val="61128788"/>
    <w:lvl w:ilvl="0" w:tplc="52E822E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D6EE9"/>
    <w:multiLevelType w:val="hybridMultilevel"/>
    <w:tmpl w:val="535C49F6"/>
    <w:lvl w:ilvl="0" w:tplc="4D74E9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3281E"/>
    <w:multiLevelType w:val="hybridMultilevel"/>
    <w:tmpl w:val="8E40950C"/>
    <w:lvl w:ilvl="0" w:tplc="C0B0BB0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10ED7"/>
    <w:multiLevelType w:val="hybridMultilevel"/>
    <w:tmpl w:val="DBA8523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B181613"/>
    <w:multiLevelType w:val="hybridMultilevel"/>
    <w:tmpl w:val="1D68903C"/>
    <w:lvl w:ilvl="0" w:tplc="863E618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F4F78"/>
    <w:multiLevelType w:val="hybridMultilevel"/>
    <w:tmpl w:val="CBF4FB9E"/>
    <w:lvl w:ilvl="0" w:tplc="479EF71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1249B"/>
    <w:multiLevelType w:val="hybridMultilevel"/>
    <w:tmpl w:val="165E6F54"/>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54558"/>
    <w:multiLevelType w:val="hybridMultilevel"/>
    <w:tmpl w:val="25580C74"/>
    <w:lvl w:ilvl="0" w:tplc="DF0A3AB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11747"/>
    <w:multiLevelType w:val="hybridMultilevel"/>
    <w:tmpl w:val="6DD60688"/>
    <w:lvl w:ilvl="0" w:tplc="DEA28EB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F54F4"/>
    <w:multiLevelType w:val="hybridMultilevel"/>
    <w:tmpl w:val="A4F4936E"/>
    <w:lvl w:ilvl="0" w:tplc="A2229E8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7C6048"/>
    <w:multiLevelType w:val="hybridMultilevel"/>
    <w:tmpl w:val="F9A4C7A6"/>
    <w:lvl w:ilvl="0" w:tplc="0C18778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162B2"/>
    <w:multiLevelType w:val="hybridMultilevel"/>
    <w:tmpl w:val="101EB726"/>
    <w:lvl w:ilvl="0" w:tplc="6944EB2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12962"/>
    <w:multiLevelType w:val="hybridMultilevel"/>
    <w:tmpl w:val="8EB0783E"/>
    <w:lvl w:ilvl="0" w:tplc="EAAC8B3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C1FD6"/>
    <w:multiLevelType w:val="hybridMultilevel"/>
    <w:tmpl w:val="26CCE9CC"/>
    <w:lvl w:ilvl="0" w:tplc="70FAB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8"/>
  </w:num>
  <w:num w:numId="5">
    <w:abstractNumId w:val="3"/>
  </w:num>
  <w:num w:numId="6">
    <w:abstractNumId w:val="19"/>
  </w:num>
  <w:num w:numId="7">
    <w:abstractNumId w:val="16"/>
  </w:num>
  <w:num w:numId="8">
    <w:abstractNumId w:val="1"/>
  </w:num>
  <w:num w:numId="9">
    <w:abstractNumId w:val="10"/>
  </w:num>
  <w:num w:numId="10">
    <w:abstractNumId w:val="21"/>
  </w:num>
  <w:num w:numId="11">
    <w:abstractNumId w:val="9"/>
  </w:num>
  <w:num w:numId="12">
    <w:abstractNumId w:val="2"/>
  </w:num>
  <w:num w:numId="13">
    <w:abstractNumId w:val="13"/>
  </w:num>
  <w:num w:numId="14">
    <w:abstractNumId w:val="8"/>
  </w:num>
  <w:num w:numId="15">
    <w:abstractNumId w:val="11"/>
  </w:num>
  <w:num w:numId="16">
    <w:abstractNumId w:val="5"/>
  </w:num>
  <w:num w:numId="17">
    <w:abstractNumId w:val="7"/>
  </w:num>
  <w:num w:numId="18">
    <w:abstractNumId w:val="17"/>
  </w:num>
  <w:num w:numId="19">
    <w:abstractNumId w:val="14"/>
  </w:num>
  <w:num w:numId="20">
    <w:abstractNumId w:val="6"/>
  </w:num>
  <w:num w:numId="21">
    <w:abstractNumId w:val="20"/>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9154BD"/>
    <w:rsid w:val="000338B8"/>
    <w:rsid w:val="00061ECE"/>
    <w:rsid w:val="00075F52"/>
    <w:rsid w:val="00104D57"/>
    <w:rsid w:val="00107726"/>
    <w:rsid w:val="00113082"/>
    <w:rsid w:val="001F2CCE"/>
    <w:rsid w:val="0020730F"/>
    <w:rsid w:val="00253FA8"/>
    <w:rsid w:val="00285B26"/>
    <w:rsid w:val="002A188E"/>
    <w:rsid w:val="003F75D8"/>
    <w:rsid w:val="004440E2"/>
    <w:rsid w:val="0049265F"/>
    <w:rsid w:val="00514D7E"/>
    <w:rsid w:val="005D353F"/>
    <w:rsid w:val="00613EA7"/>
    <w:rsid w:val="006865E0"/>
    <w:rsid w:val="006B14FC"/>
    <w:rsid w:val="006E42EA"/>
    <w:rsid w:val="007076FD"/>
    <w:rsid w:val="007239F8"/>
    <w:rsid w:val="0072424A"/>
    <w:rsid w:val="00742751"/>
    <w:rsid w:val="00760EC6"/>
    <w:rsid w:val="00795A5F"/>
    <w:rsid w:val="007A294A"/>
    <w:rsid w:val="008629BC"/>
    <w:rsid w:val="00862E59"/>
    <w:rsid w:val="00866B99"/>
    <w:rsid w:val="0087231E"/>
    <w:rsid w:val="009154BD"/>
    <w:rsid w:val="0096065C"/>
    <w:rsid w:val="00982909"/>
    <w:rsid w:val="00986DA0"/>
    <w:rsid w:val="00A12A1F"/>
    <w:rsid w:val="00A30CDF"/>
    <w:rsid w:val="00A40144"/>
    <w:rsid w:val="00A56223"/>
    <w:rsid w:val="00A708C4"/>
    <w:rsid w:val="00A9456B"/>
    <w:rsid w:val="00A9798D"/>
    <w:rsid w:val="00AB30C8"/>
    <w:rsid w:val="00AF0C3A"/>
    <w:rsid w:val="00B41E4A"/>
    <w:rsid w:val="00B74BEE"/>
    <w:rsid w:val="00BE400E"/>
    <w:rsid w:val="00C33600"/>
    <w:rsid w:val="00C64D0D"/>
    <w:rsid w:val="00D80F34"/>
    <w:rsid w:val="00DE2366"/>
    <w:rsid w:val="00DF7E61"/>
    <w:rsid w:val="00E47934"/>
    <w:rsid w:val="00E90015"/>
    <w:rsid w:val="00EC24DF"/>
    <w:rsid w:val="00F31BB0"/>
    <w:rsid w:val="00F4739D"/>
    <w:rsid w:val="00F91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E2"/>
  </w:style>
  <w:style w:type="paragraph" w:styleId="Heading1">
    <w:name w:val="heading 1"/>
    <w:basedOn w:val="Normal"/>
    <w:next w:val="Normal"/>
    <w:link w:val="Heading1Char"/>
    <w:uiPriority w:val="9"/>
    <w:qFormat/>
    <w:rsid w:val="009154BD"/>
    <w:pPr>
      <w:keepNext/>
      <w:keepLines/>
      <w:spacing w:before="0" w:after="0"/>
      <w:jc w:val="center"/>
      <w:outlineLvl w:val="0"/>
    </w:pPr>
    <w:rPr>
      <w:rFonts w:ascii="Times New Roman" w:eastAsiaTheme="majorEastAsia" w:hAnsi="Times New Roman"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BD"/>
    <w:rPr>
      <w:rFonts w:ascii="Times New Roman" w:eastAsiaTheme="majorEastAsia" w:hAnsi="Times New Roman" w:cstheme="majorBidi"/>
      <w:b/>
      <w:sz w:val="24"/>
      <w:szCs w:val="32"/>
      <w:lang w:val="en-US"/>
    </w:rPr>
  </w:style>
  <w:style w:type="table" w:styleId="TableGrid">
    <w:name w:val="Table Grid"/>
    <w:basedOn w:val="TableNormal"/>
    <w:uiPriority w:val="59"/>
    <w:rsid w:val="009154BD"/>
    <w:pPr>
      <w:spacing w:before="0" w:after="0"/>
      <w:jc w:val="left"/>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4BD"/>
    <w:pPr>
      <w:tabs>
        <w:tab w:val="center" w:pos="4680"/>
        <w:tab w:val="right" w:pos="9360"/>
      </w:tabs>
      <w:spacing w:before="0" w:after="0"/>
      <w:jc w:val="left"/>
    </w:pPr>
    <w:rPr>
      <w:rFonts w:ascii="Times New Roman" w:hAnsi="Times New Roman"/>
      <w:sz w:val="28"/>
      <w:lang w:val="en-US"/>
    </w:rPr>
  </w:style>
  <w:style w:type="character" w:customStyle="1" w:styleId="HeaderChar">
    <w:name w:val="Header Char"/>
    <w:basedOn w:val="DefaultParagraphFont"/>
    <w:link w:val="Header"/>
    <w:uiPriority w:val="99"/>
    <w:rsid w:val="009154BD"/>
    <w:rPr>
      <w:rFonts w:ascii="Times New Roman" w:hAnsi="Times New Roman"/>
      <w:sz w:val="28"/>
      <w:lang w:val="en-US"/>
    </w:rPr>
  </w:style>
  <w:style w:type="paragraph" w:styleId="Footer">
    <w:name w:val="footer"/>
    <w:basedOn w:val="Normal"/>
    <w:link w:val="FooterChar"/>
    <w:uiPriority w:val="99"/>
    <w:semiHidden/>
    <w:unhideWhenUsed/>
    <w:rsid w:val="009154BD"/>
    <w:pPr>
      <w:tabs>
        <w:tab w:val="center" w:pos="4680"/>
        <w:tab w:val="right" w:pos="9360"/>
      </w:tabs>
      <w:spacing w:before="0" w:after="0"/>
      <w:jc w:val="left"/>
    </w:pPr>
    <w:rPr>
      <w:rFonts w:ascii="Times New Roman" w:hAnsi="Times New Roman"/>
      <w:sz w:val="28"/>
      <w:lang w:val="en-US"/>
    </w:rPr>
  </w:style>
  <w:style w:type="character" w:customStyle="1" w:styleId="FooterChar">
    <w:name w:val="Footer Char"/>
    <w:basedOn w:val="DefaultParagraphFont"/>
    <w:link w:val="Footer"/>
    <w:uiPriority w:val="99"/>
    <w:semiHidden/>
    <w:rsid w:val="009154BD"/>
    <w:rPr>
      <w:rFonts w:ascii="Times New Roman" w:hAnsi="Times New Roman"/>
      <w:sz w:val="28"/>
      <w:lang w:val="en-US"/>
    </w:rPr>
  </w:style>
  <w:style w:type="paragraph" w:styleId="ListParagraph">
    <w:name w:val="List Paragraph"/>
    <w:basedOn w:val="Normal"/>
    <w:uiPriority w:val="34"/>
    <w:qFormat/>
    <w:rsid w:val="009154BD"/>
    <w:pPr>
      <w:spacing w:after="0"/>
      <w:ind w:left="720"/>
      <w:contextualSpacing/>
      <w:jc w:val="left"/>
    </w:pPr>
    <w:rPr>
      <w:rFonts w:ascii="Times New Roman" w:hAnsi="Times New Roman"/>
      <w:sz w:val="28"/>
      <w:lang w:val="en-US"/>
    </w:rPr>
  </w:style>
  <w:style w:type="character" w:styleId="Hyperlink">
    <w:name w:val="Hyperlink"/>
    <w:basedOn w:val="DefaultParagraphFont"/>
    <w:uiPriority w:val="99"/>
    <w:unhideWhenUsed/>
    <w:rsid w:val="009154BD"/>
    <w:rPr>
      <w:color w:val="0000FF"/>
      <w:u w:val="single"/>
    </w:rPr>
  </w:style>
  <w:style w:type="character" w:customStyle="1" w:styleId="Other">
    <w:name w:val="Other_"/>
    <w:basedOn w:val="DefaultParagraphFont"/>
    <w:link w:val="Other0"/>
    <w:rsid w:val="009154BD"/>
    <w:rPr>
      <w:rFonts w:eastAsia="Times New Roman" w:cs="Times New Roman"/>
    </w:rPr>
  </w:style>
  <w:style w:type="paragraph" w:customStyle="1" w:styleId="Other0">
    <w:name w:val="Other"/>
    <w:basedOn w:val="Normal"/>
    <w:link w:val="Other"/>
    <w:rsid w:val="009154BD"/>
    <w:pPr>
      <w:widowControl w:val="0"/>
      <w:spacing w:before="0" w:after="0"/>
      <w:jc w:val="left"/>
    </w:pPr>
    <w:rPr>
      <w:rFonts w:eastAsia="Times New Roman" w:cs="Times New Roman"/>
    </w:rPr>
  </w:style>
  <w:style w:type="paragraph" w:styleId="BalloonText">
    <w:name w:val="Balloon Text"/>
    <w:basedOn w:val="Normal"/>
    <w:link w:val="BalloonTextChar"/>
    <w:uiPriority w:val="99"/>
    <w:semiHidden/>
    <w:unhideWhenUsed/>
    <w:rsid w:val="009154BD"/>
    <w:pPr>
      <w:spacing w:before="0" w:after="0"/>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154BD"/>
    <w:rPr>
      <w:rFonts w:ascii="Tahoma" w:hAnsi="Tahoma" w:cs="Tahoma"/>
      <w:sz w:val="16"/>
      <w:szCs w:val="16"/>
      <w:lang w:val="en-US"/>
    </w:rPr>
  </w:style>
  <w:style w:type="paragraph" w:customStyle="1" w:styleId="Default">
    <w:name w:val="Default"/>
    <w:rsid w:val="009154BD"/>
    <w:pPr>
      <w:autoSpaceDE w:val="0"/>
      <w:autoSpaceDN w:val="0"/>
      <w:adjustRightInd w:val="0"/>
      <w:spacing w:before="0" w:after="0"/>
      <w:jc w:val="left"/>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lien-tich-74-2004-ttlt-btc-bvhtt-bo-tai-chinh-16369-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F966-DE7C-42A6-B3F0-71A574BC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vithiphuongnhung</dc:creator>
  <cp:lastModifiedBy>honguyenbinh</cp:lastModifiedBy>
  <cp:revision>12</cp:revision>
  <cp:lastPrinted>2024-05-20T06:58:00Z</cp:lastPrinted>
  <dcterms:created xsi:type="dcterms:W3CDTF">2024-05-17T09:24:00Z</dcterms:created>
  <dcterms:modified xsi:type="dcterms:W3CDTF">2024-05-20T06:58:00Z</dcterms:modified>
</cp:coreProperties>
</file>